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4242" w14:textId="77777777" w:rsidR="008C722F" w:rsidRPr="00233FFD" w:rsidRDefault="008C722F" w:rsidP="008C722F">
      <w:pPr>
        <w:pStyle w:val="Heading5"/>
        <w:rPr>
          <w:rFonts w:asciiTheme="minorHAnsi" w:hAnsiTheme="minorHAnsi" w:cstheme="minorHAnsi"/>
          <w:sz w:val="24"/>
          <w:u w:val="none"/>
        </w:rPr>
      </w:pPr>
      <w:bookmarkStart w:id="0" w:name="_Hlk501016721"/>
      <w:bookmarkEnd w:id="0"/>
      <w:r w:rsidRPr="00233FFD">
        <w:rPr>
          <w:rFonts w:asciiTheme="minorHAnsi" w:hAnsiTheme="minorHAnsi" w:cstheme="minorHAnsi"/>
          <w:noProof/>
          <w:sz w:val="24"/>
          <w:lang w:eastAsia="en-GB"/>
        </w:rPr>
        <w:drawing>
          <wp:anchor distT="0" distB="0" distL="114300" distR="114300" simplePos="0" relativeHeight="251659264" behindDoc="0" locked="0" layoutInCell="1" allowOverlap="1" wp14:anchorId="54F281BF" wp14:editId="76685F24">
            <wp:simplePos x="0" y="0"/>
            <wp:positionH relativeFrom="margin">
              <wp:posOffset>2374900</wp:posOffset>
            </wp:positionH>
            <wp:positionV relativeFrom="margin">
              <wp:posOffset>-561975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AB45E" w14:textId="77777777" w:rsidR="008C722F" w:rsidRPr="00233FFD" w:rsidRDefault="008C722F" w:rsidP="008C722F">
      <w:pPr>
        <w:pStyle w:val="Heading5"/>
        <w:rPr>
          <w:rFonts w:asciiTheme="minorHAnsi" w:hAnsiTheme="minorHAnsi" w:cstheme="minorHAnsi"/>
          <w:sz w:val="24"/>
          <w:u w:val="none"/>
        </w:rPr>
      </w:pPr>
    </w:p>
    <w:p w14:paraId="7466648B" w14:textId="77777777" w:rsidR="008C722F" w:rsidRPr="00233FFD" w:rsidRDefault="008C722F" w:rsidP="008C722F">
      <w:pPr>
        <w:pStyle w:val="Heading5"/>
        <w:rPr>
          <w:rFonts w:asciiTheme="minorHAnsi" w:hAnsiTheme="minorHAnsi" w:cstheme="minorHAnsi"/>
          <w:sz w:val="24"/>
          <w:u w:val="none"/>
        </w:rPr>
      </w:pPr>
    </w:p>
    <w:p w14:paraId="172C2601" w14:textId="77777777" w:rsidR="008C722F" w:rsidRPr="00233FFD" w:rsidRDefault="008C722F" w:rsidP="008C722F">
      <w:pPr>
        <w:pStyle w:val="Heading5"/>
        <w:rPr>
          <w:rFonts w:asciiTheme="minorHAnsi" w:hAnsiTheme="minorHAnsi" w:cstheme="minorHAnsi"/>
          <w:sz w:val="24"/>
          <w:u w:val="none"/>
        </w:rPr>
      </w:pPr>
    </w:p>
    <w:p w14:paraId="13BAB16F" w14:textId="77777777" w:rsidR="008C722F" w:rsidRPr="00233FFD" w:rsidRDefault="008C722F" w:rsidP="008C722F">
      <w:pPr>
        <w:pStyle w:val="Heading5"/>
        <w:rPr>
          <w:rFonts w:asciiTheme="minorHAnsi" w:hAnsiTheme="minorHAnsi" w:cstheme="minorHAnsi"/>
          <w:sz w:val="24"/>
          <w:u w:val="none"/>
        </w:rPr>
      </w:pPr>
      <w:r w:rsidRPr="00233FFD">
        <w:rPr>
          <w:rFonts w:asciiTheme="minorHAnsi" w:hAnsiTheme="minorHAnsi" w:cstheme="minorHAnsi"/>
          <w:sz w:val="24"/>
          <w:u w:val="none"/>
        </w:rPr>
        <w:t>Cheshire &amp; Warrington Local Enterprise Partnership</w:t>
      </w:r>
    </w:p>
    <w:p w14:paraId="30EA01B0" w14:textId="77777777" w:rsidR="008C722F" w:rsidRPr="00233FFD" w:rsidRDefault="008C722F" w:rsidP="008C722F">
      <w:pPr>
        <w:jc w:val="both"/>
        <w:rPr>
          <w:rFonts w:cstheme="minorHAnsi"/>
          <w:sz w:val="24"/>
          <w:szCs w:val="24"/>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8C722F" w:rsidRPr="00233FFD" w14:paraId="00F518F8" w14:textId="77777777" w:rsidTr="00DE4000">
        <w:trPr>
          <w:trHeight w:val="449"/>
          <w:jc w:val="center"/>
        </w:trPr>
        <w:tc>
          <w:tcPr>
            <w:tcW w:w="5138" w:type="dxa"/>
            <w:shd w:val="clear" w:color="auto" w:fill="C0C0C0"/>
          </w:tcPr>
          <w:p w14:paraId="1C4F94D5" w14:textId="0A8FDCD7" w:rsidR="008C722F" w:rsidRPr="00233FFD" w:rsidRDefault="008C722F" w:rsidP="00DE4000">
            <w:pPr>
              <w:jc w:val="both"/>
              <w:rPr>
                <w:rFonts w:cstheme="minorHAnsi"/>
                <w:b/>
                <w:sz w:val="24"/>
                <w:szCs w:val="24"/>
              </w:rPr>
            </w:pPr>
            <w:r w:rsidRPr="00233FFD">
              <w:rPr>
                <w:rFonts w:cstheme="minorHAnsi"/>
                <w:b/>
                <w:sz w:val="24"/>
                <w:szCs w:val="24"/>
              </w:rPr>
              <w:t xml:space="preserve">Title: </w:t>
            </w:r>
            <w:r>
              <w:rPr>
                <w:rFonts w:cstheme="minorHAnsi"/>
                <w:b/>
                <w:sz w:val="24"/>
                <w:szCs w:val="24"/>
              </w:rPr>
              <w:t>Delegat</w:t>
            </w:r>
            <w:r w:rsidR="00A711B3">
              <w:rPr>
                <w:rFonts w:cstheme="minorHAnsi"/>
                <w:b/>
                <w:sz w:val="24"/>
                <w:szCs w:val="24"/>
              </w:rPr>
              <w:t>ed</w:t>
            </w:r>
            <w:r w:rsidR="009B6676">
              <w:rPr>
                <w:rFonts w:cstheme="minorHAnsi"/>
                <w:b/>
                <w:sz w:val="24"/>
                <w:szCs w:val="24"/>
              </w:rPr>
              <w:t xml:space="preserve"> Authority</w:t>
            </w:r>
          </w:p>
        </w:tc>
        <w:tc>
          <w:tcPr>
            <w:tcW w:w="3958" w:type="dxa"/>
            <w:shd w:val="clear" w:color="auto" w:fill="C0C0C0"/>
          </w:tcPr>
          <w:p w14:paraId="340D6554" w14:textId="795006E9" w:rsidR="008C722F" w:rsidRPr="00233FFD" w:rsidRDefault="008C722F" w:rsidP="00DE4000">
            <w:pPr>
              <w:rPr>
                <w:rFonts w:cstheme="minorHAnsi"/>
                <w:b/>
                <w:sz w:val="24"/>
                <w:szCs w:val="24"/>
              </w:rPr>
            </w:pPr>
            <w:r w:rsidRPr="00233FFD">
              <w:rPr>
                <w:rFonts w:cstheme="minorHAnsi"/>
                <w:b/>
                <w:sz w:val="24"/>
                <w:szCs w:val="24"/>
              </w:rPr>
              <w:t>Agenda item:</w:t>
            </w:r>
          </w:p>
        </w:tc>
      </w:tr>
      <w:tr w:rsidR="008C722F" w:rsidRPr="00233FFD" w14:paraId="2DA3EF22" w14:textId="77777777" w:rsidTr="00DE4000">
        <w:trPr>
          <w:trHeight w:val="558"/>
          <w:jc w:val="center"/>
        </w:trPr>
        <w:tc>
          <w:tcPr>
            <w:tcW w:w="5138" w:type="dxa"/>
            <w:shd w:val="clear" w:color="auto" w:fill="C0C0C0"/>
          </w:tcPr>
          <w:p w14:paraId="55CB8037" w14:textId="30CA2202" w:rsidR="008C722F" w:rsidRPr="00233FFD" w:rsidRDefault="008C722F" w:rsidP="00DE4000">
            <w:pPr>
              <w:jc w:val="both"/>
              <w:rPr>
                <w:rFonts w:cstheme="minorHAnsi"/>
                <w:b/>
                <w:sz w:val="24"/>
                <w:szCs w:val="24"/>
              </w:rPr>
            </w:pPr>
            <w:r>
              <w:rPr>
                <w:rFonts w:cstheme="minorHAnsi"/>
                <w:b/>
                <w:sz w:val="24"/>
                <w:szCs w:val="24"/>
              </w:rPr>
              <w:t xml:space="preserve">Prepared by: </w:t>
            </w:r>
            <w:r w:rsidR="00A711B3">
              <w:rPr>
                <w:rFonts w:cstheme="minorHAnsi"/>
                <w:b/>
                <w:sz w:val="24"/>
                <w:szCs w:val="24"/>
              </w:rPr>
              <w:t>Mark Livesey</w:t>
            </w:r>
          </w:p>
        </w:tc>
        <w:tc>
          <w:tcPr>
            <w:tcW w:w="3958" w:type="dxa"/>
            <w:shd w:val="clear" w:color="auto" w:fill="C0C0C0"/>
          </w:tcPr>
          <w:p w14:paraId="7B029891" w14:textId="407136D7" w:rsidR="008C722F" w:rsidRPr="00233FFD" w:rsidRDefault="008C722F" w:rsidP="00DE4000">
            <w:pPr>
              <w:rPr>
                <w:rFonts w:cstheme="minorHAnsi"/>
                <w:b/>
                <w:sz w:val="24"/>
                <w:szCs w:val="24"/>
              </w:rPr>
            </w:pPr>
            <w:r>
              <w:rPr>
                <w:rFonts w:cstheme="minorHAnsi"/>
                <w:b/>
                <w:sz w:val="24"/>
                <w:szCs w:val="24"/>
              </w:rPr>
              <w:t xml:space="preserve">Date of Report: </w:t>
            </w:r>
            <w:r w:rsidR="00FB36CA">
              <w:rPr>
                <w:rFonts w:cstheme="minorHAnsi"/>
                <w:b/>
                <w:sz w:val="24"/>
                <w:szCs w:val="24"/>
              </w:rPr>
              <w:t>14</w:t>
            </w:r>
            <w:r w:rsidR="00FB36CA" w:rsidRPr="00FB36CA">
              <w:rPr>
                <w:rFonts w:cstheme="minorHAnsi"/>
                <w:b/>
                <w:sz w:val="24"/>
                <w:szCs w:val="24"/>
                <w:vertAlign w:val="superscript"/>
              </w:rPr>
              <w:t>th</w:t>
            </w:r>
            <w:r w:rsidR="00FB36CA">
              <w:rPr>
                <w:rFonts w:cstheme="minorHAnsi"/>
                <w:b/>
                <w:sz w:val="24"/>
                <w:szCs w:val="24"/>
              </w:rPr>
              <w:t xml:space="preserve"> </w:t>
            </w:r>
            <w:r w:rsidR="00A711B3">
              <w:rPr>
                <w:rFonts w:cstheme="minorHAnsi"/>
                <w:b/>
                <w:sz w:val="24"/>
                <w:szCs w:val="24"/>
              </w:rPr>
              <w:t>Novem</w:t>
            </w:r>
            <w:r>
              <w:rPr>
                <w:rFonts w:cstheme="minorHAnsi"/>
                <w:b/>
                <w:sz w:val="24"/>
                <w:szCs w:val="24"/>
              </w:rPr>
              <w:t>ber 2018</w:t>
            </w:r>
          </w:p>
        </w:tc>
      </w:tr>
    </w:tbl>
    <w:p w14:paraId="2B5CDE48" w14:textId="2273A1A3" w:rsidR="001432AF" w:rsidRDefault="001432AF" w:rsidP="00A05CCF">
      <w:pPr>
        <w:rPr>
          <w:b/>
        </w:rPr>
      </w:pPr>
    </w:p>
    <w:p w14:paraId="490CAD0D" w14:textId="77777777" w:rsidR="008757A2" w:rsidRDefault="008757A2" w:rsidP="00A05CCF">
      <w:pPr>
        <w:rPr>
          <w:b/>
        </w:rPr>
      </w:pPr>
    </w:p>
    <w:p w14:paraId="53CDA6CC" w14:textId="718235F5" w:rsidR="00A05CCF" w:rsidRDefault="00117C02" w:rsidP="00A05CCF">
      <w:pPr>
        <w:rPr>
          <w:b/>
        </w:rPr>
      </w:pPr>
      <w:r>
        <w:rPr>
          <w:b/>
        </w:rPr>
        <w:t>Purpose</w:t>
      </w:r>
    </w:p>
    <w:p w14:paraId="6CD4D2BD" w14:textId="5A270446" w:rsidR="00117C02" w:rsidRDefault="00117C02" w:rsidP="00A05CCF">
      <w:pPr>
        <w:pStyle w:val="ListParagraph"/>
        <w:numPr>
          <w:ilvl w:val="0"/>
          <w:numId w:val="11"/>
        </w:numPr>
      </w:pPr>
      <w:r>
        <w:t>To seek the Boards approval to</w:t>
      </w:r>
      <w:r w:rsidR="00A711B3">
        <w:t xml:space="preserve"> </w:t>
      </w:r>
      <w:r w:rsidR="006A56C4">
        <w:t xml:space="preserve">give delegated authority </w:t>
      </w:r>
      <w:r w:rsidR="00777B05">
        <w:t xml:space="preserve">to the Board’s sub-committees to enable them </w:t>
      </w:r>
      <w:r w:rsidR="00A56E2F">
        <w:t xml:space="preserve">to make decisions without the need to refer them to the main Board for endorsement.  </w:t>
      </w:r>
    </w:p>
    <w:p w14:paraId="7F189AD0" w14:textId="77777777" w:rsidR="003A380E" w:rsidRDefault="003A380E" w:rsidP="00117C02">
      <w:pPr>
        <w:rPr>
          <w:b/>
        </w:rPr>
      </w:pPr>
    </w:p>
    <w:p w14:paraId="76FB7555" w14:textId="2ED6BCE0" w:rsidR="00117C02" w:rsidRPr="00117C02" w:rsidRDefault="00117C02" w:rsidP="00117C02">
      <w:pPr>
        <w:rPr>
          <w:b/>
        </w:rPr>
      </w:pPr>
      <w:r w:rsidRPr="00117C02">
        <w:rPr>
          <w:b/>
        </w:rPr>
        <w:t>Recommendations</w:t>
      </w:r>
      <w:bookmarkStart w:id="1" w:name="_GoBack"/>
      <w:bookmarkEnd w:id="1"/>
    </w:p>
    <w:p w14:paraId="34E49721" w14:textId="35806616" w:rsidR="00117C02" w:rsidRDefault="00117C02" w:rsidP="00C8401F">
      <w:pPr>
        <w:pStyle w:val="ListParagraph"/>
        <w:numPr>
          <w:ilvl w:val="0"/>
          <w:numId w:val="17"/>
        </w:numPr>
      </w:pPr>
      <w:r>
        <w:t>To approve the</w:t>
      </w:r>
      <w:r w:rsidR="00321694">
        <w:t xml:space="preserve"> approach to </w:t>
      </w:r>
      <w:r>
        <w:t>formal delegations proposed in this paper and accompanying governance arrangements</w:t>
      </w:r>
      <w:r w:rsidR="003B392F">
        <w:t>.</w:t>
      </w:r>
      <w:r>
        <w:t xml:space="preserve">  </w:t>
      </w:r>
    </w:p>
    <w:p w14:paraId="18E1F091" w14:textId="77777777" w:rsidR="003A380E" w:rsidRDefault="003A380E" w:rsidP="00117C02">
      <w:pPr>
        <w:rPr>
          <w:b/>
        </w:rPr>
      </w:pPr>
    </w:p>
    <w:p w14:paraId="3FCD415A" w14:textId="7C02F79B" w:rsidR="00117C02" w:rsidRPr="00117C02" w:rsidRDefault="00117C02" w:rsidP="00117C02">
      <w:pPr>
        <w:rPr>
          <w:b/>
        </w:rPr>
      </w:pPr>
      <w:r w:rsidRPr="00117C02">
        <w:rPr>
          <w:b/>
        </w:rPr>
        <w:t>Background</w:t>
      </w:r>
    </w:p>
    <w:p w14:paraId="18C40ADB" w14:textId="26BACF07" w:rsidR="008F7504" w:rsidRDefault="00117C02" w:rsidP="00627596">
      <w:pPr>
        <w:pStyle w:val="ListParagraph"/>
        <w:numPr>
          <w:ilvl w:val="0"/>
          <w:numId w:val="11"/>
        </w:numPr>
      </w:pPr>
      <w:r>
        <w:t>All financial decisions made by the LEP</w:t>
      </w:r>
      <w:r w:rsidR="00A711B3">
        <w:t>, including by its sub-committees,</w:t>
      </w:r>
      <w:r>
        <w:t xml:space="preserve"> are currently put to the full LEP Board for consideration</w:t>
      </w:r>
      <w:r w:rsidR="00A711B3">
        <w:t xml:space="preserve"> and decision</w:t>
      </w:r>
      <w:r>
        <w:t xml:space="preserve">.   </w:t>
      </w:r>
      <w:r w:rsidR="00A05CCF">
        <w:t xml:space="preserve">Given the </w:t>
      </w:r>
      <w:r>
        <w:t>demands being placed on the LEP and the likelihood that those demands will continue to increase</w:t>
      </w:r>
      <w:r w:rsidR="008F7504">
        <w:t xml:space="preserve"> e.g. as</w:t>
      </w:r>
      <w:r>
        <w:t xml:space="preserve"> we prepar</w:t>
      </w:r>
      <w:r w:rsidR="00F86E38">
        <w:t>e and debate the content of o</w:t>
      </w:r>
      <w:r>
        <w:t xml:space="preserve">ur Local Industrial Strategy, </w:t>
      </w:r>
      <w:r w:rsidR="00917CFA">
        <w:t>it seems timely to p</w:t>
      </w:r>
      <w:r>
        <w:t xml:space="preserve">ropose empowering LEP sub-committees </w:t>
      </w:r>
      <w:r w:rsidR="008F7504">
        <w:t xml:space="preserve">and </w:t>
      </w:r>
      <w:r w:rsidR="003B392F">
        <w:t xml:space="preserve">so </w:t>
      </w:r>
      <w:r w:rsidR="008F7504">
        <w:t>to agree a scheme of delegat</w:t>
      </w:r>
      <w:r w:rsidR="00F86E38">
        <w:t xml:space="preserve">ion to </w:t>
      </w:r>
      <w:r>
        <w:t>t</w:t>
      </w:r>
      <w:r w:rsidR="008F7504">
        <w:t>hem</w:t>
      </w:r>
      <w:r w:rsidR="003A380E">
        <w:t xml:space="preserve"> enabling them to ensure business is concluded efficiently and effectively</w:t>
      </w:r>
      <w:r w:rsidR="008F7504">
        <w:t>.</w:t>
      </w:r>
      <w:r w:rsidR="00EC6668">
        <w:t xml:space="preserve">  </w:t>
      </w:r>
      <w:r w:rsidR="00A711B3">
        <w:t>This would also respond to the view expressed by Board members at the recent awayday, that more time should be found in Board meetings to discuss strategic issues</w:t>
      </w:r>
      <w:r w:rsidR="00D553B1">
        <w:t>, rather than re</w:t>
      </w:r>
      <w:r w:rsidR="00321694">
        <w:t>peating</w:t>
      </w:r>
      <w:r w:rsidR="00D553B1">
        <w:t xml:space="preserve"> discussions</w:t>
      </w:r>
      <w:r w:rsidR="00601423">
        <w:t xml:space="preserve"> that have already taken place in </w:t>
      </w:r>
      <w:r w:rsidR="00917CFA">
        <w:t xml:space="preserve">the </w:t>
      </w:r>
      <w:r w:rsidR="00601423">
        <w:t>sub-committees</w:t>
      </w:r>
      <w:r w:rsidR="00A711B3">
        <w:t>.</w:t>
      </w:r>
    </w:p>
    <w:p w14:paraId="44636046" w14:textId="33713326" w:rsidR="008F7504" w:rsidRDefault="008F7504" w:rsidP="008F7504">
      <w:pPr>
        <w:pStyle w:val="ListParagraph"/>
        <w:ind w:left="360"/>
      </w:pPr>
      <w:r>
        <w:t xml:space="preserve"> </w:t>
      </w:r>
    </w:p>
    <w:p w14:paraId="6F14593B" w14:textId="763BEFC5" w:rsidR="003B392F" w:rsidRDefault="008F7504" w:rsidP="00627596">
      <w:pPr>
        <w:pStyle w:val="ListParagraph"/>
        <w:numPr>
          <w:ilvl w:val="0"/>
          <w:numId w:val="11"/>
        </w:numPr>
      </w:pPr>
      <w:r>
        <w:t>If the Board agree</w:t>
      </w:r>
      <w:r w:rsidR="00FE0257">
        <w:t>s</w:t>
      </w:r>
      <w:r>
        <w:t xml:space="preserve"> with the proposed </w:t>
      </w:r>
      <w:r w:rsidR="00F86E38">
        <w:t xml:space="preserve">level of </w:t>
      </w:r>
      <w:r w:rsidR="003B392F">
        <w:t>delegations</w:t>
      </w:r>
      <w:r w:rsidR="00321694">
        <w:t xml:space="preserve"> set out at Annex A</w:t>
      </w:r>
      <w:r>
        <w:t xml:space="preserve">, </w:t>
      </w:r>
      <w:r w:rsidR="00A56E2F">
        <w:t>it is a requirement of MHCLG’s accountability framework that</w:t>
      </w:r>
      <w:r w:rsidR="005945EB">
        <w:t xml:space="preserve"> the </w:t>
      </w:r>
      <w:r>
        <w:t>levels of governance and transparency around the LEP sub-committees mirror th</w:t>
      </w:r>
      <w:r w:rsidR="00EE72AA">
        <w:t>ose of</w:t>
      </w:r>
      <w:r>
        <w:t xml:space="preserve"> the main LEP Board.  In truth, this is pretty much </w:t>
      </w:r>
      <w:r w:rsidR="00321694">
        <w:t>t</w:t>
      </w:r>
      <w:r>
        <w:t>he case</w:t>
      </w:r>
      <w:r w:rsidR="00321694">
        <w:t xml:space="preserve"> already</w:t>
      </w:r>
      <w:r w:rsidR="003B392F">
        <w:t xml:space="preserve">, </w:t>
      </w:r>
      <w:r w:rsidR="00D86573">
        <w:t>with</w:t>
      </w:r>
      <w:r>
        <w:t xml:space="preserve"> </w:t>
      </w:r>
      <w:r w:rsidR="00D86573">
        <w:t>m</w:t>
      </w:r>
      <w:r>
        <w:t>eetings</w:t>
      </w:r>
      <w:r w:rsidR="00F86E38">
        <w:t xml:space="preserve"> </w:t>
      </w:r>
      <w:r w:rsidR="00D86573">
        <w:t>being</w:t>
      </w:r>
      <w:r>
        <w:t xml:space="preserve"> </w:t>
      </w:r>
      <w:r w:rsidR="00D86573">
        <w:t>open to the public and p</w:t>
      </w:r>
      <w:r>
        <w:t>apers</w:t>
      </w:r>
      <w:r w:rsidR="00D86573">
        <w:t xml:space="preserve">, </w:t>
      </w:r>
      <w:r>
        <w:t>agenda</w:t>
      </w:r>
      <w:r w:rsidR="00D86573">
        <w:t xml:space="preserve"> etc.</w:t>
      </w:r>
      <w:r>
        <w:t xml:space="preserve"> being published in advance.</w:t>
      </w:r>
      <w:r w:rsidR="00306137">
        <w:t xml:space="preserve"> The only area of further work would be around the voting rights of sub-committee members.</w:t>
      </w:r>
    </w:p>
    <w:p w14:paraId="59FA4264" w14:textId="16D39710" w:rsidR="00A05CCF" w:rsidRDefault="008F7504" w:rsidP="003B392F">
      <w:pPr>
        <w:pStyle w:val="ListParagraph"/>
        <w:ind w:left="360"/>
      </w:pPr>
      <w:r>
        <w:lastRenderedPageBreak/>
        <w:t xml:space="preserve">  </w:t>
      </w:r>
    </w:p>
    <w:p w14:paraId="57793D0A" w14:textId="2FAEE10D" w:rsidR="00306137" w:rsidRDefault="00321694" w:rsidP="00A56E2F">
      <w:pPr>
        <w:pStyle w:val="ListParagraph"/>
        <w:numPr>
          <w:ilvl w:val="0"/>
          <w:numId w:val="11"/>
        </w:numPr>
      </w:pPr>
      <w:r>
        <w:t xml:space="preserve">As LEP </w:t>
      </w:r>
      <w:r w:rsidR="00306137">
        <w:t>sub-committees</w:t>
      </w:r>
      <w:r>
        <w:t xml:space="preserve"> have been established, the LEP has been keen to </w:t>
      </w:r>
      <w:r w:rsidR="00306137">
        <w:t>benefit from the breadth of expertise across Cheshire and Warrington</w:t>
      </w:r>
      <w:r>
        <w:t xml:space="preserve">.  This means that </w:t>
      </w:r>
      <w:r w:rsidR="00D86573">
        <w:t xml:space="preserve">we have </w:t>
      </w:r>
      <w:r w:rsidR="001432AF">
        <w:t xml:space="preserve">extended </w:t>
      </w:r>
      <w:r w:rsidR="00D86573">
        <w:t>sub-committee membership beyond</w:t>
      </w:r>
      <w:r w:rsidR="005945EB">
        <w:t xml:space="preserve"> simply</w:t>
      </w:r>
      <w:r w:rsidR="00D86573">
        <w:t xml:space="preserve"> Board members and</w:t>
      </w:r>
      <w:r w:rsidR="001432AF">
        <w:t xml:space="preserve"> representatives from our Local Authorities</w:t>
      </w:r>
      <w:r>
        <w:t xml:space="preserve">, bringing in expertise from </w:t>
      </w:r>
      <w:r w:rsidR="005945EB">
        <w:t>both the wider private and public sector</w:t>
      </w:r>
      <w:r w:rsidR="00A56E2F">
        <w:t xml:space="preserve">.  The processes for doing so have been relatively informal, and there is no problem with this continuing, but if they are to be involved in making decisions on financial matters delegated by the Board, they must be appointed via an open and transparent process.  </w:t>
      </w:r>
      <w:r w:rsidR="00D07710">
        <w:t xml:space="preserve">Clearly this is not an issue for LA representatives, or Board members who have been appointed through an open and transparent process. </w:t>
      </w:r>
      <w:r w:rsidR="001432AF">
        <w:t xml:space="preserve">  </w:t>
      </w:r>
    </w:p>
    <w:p w14:paraId="346E06AD" w14:textId="77777777" w:rsidR="003A380E" w:rsidRDefault="003A380E" w:rsidP="001432AF">
      <w:pPr>
        <w:rPr>
          <w:b/>
        </w:rPr>
      </w:pPr>
    </w:p>
    <w:p w14:paraId="6837A132" w14:textId="4C09F0F7" w:rsidR="001432AF" w:rsidRDefault="001432AF" w:rsidP="001432AF">
      <w:r w:rsidRPr="001432AF">
        <w:rPr>
          <w:b/>
        </w:rPr>
        <w:t>LEP Sub-Committee</w:t>
      </w:r>
      <w:r>
        <w:rPr>
          <w:b/>
        </w:rPr>
        <w:t>s</w:t>
      </w:r>
    </w:p>
    <w:p w14:paraId="177198D5" w14:textId="6DC0BD8A" w:rsidR="003A380E" w:rsidRDefault="001432AF" w:rsidP="007A6053">
      <w:pPr>
        <w:pStyle w:val="ListParagraph"/>
        <w:numPr>
          <w:ilvl w:val="0"/>
          <w:numId w:val="11"/>
        </w:numPr>
      </w:pPr>
      <w:r>
        <w:t xml:space="preserve">At present </w:t>
      </w:r>
      <w:r w:rsidR="007D2AD5">
        <w:t xml:space="preserve">the LEP </w:t>
      </w:r>
      <w:r w:rsidR="00A4576D">
        <w:t>operates</w:t>
      </w:r>
      <w:r w:rsidR="007D2AD5">
        <w:t xml:space="preserve"> </w:t>
      </w:r>
      <w:r w:rsidR="00A56E2F">
        <w:t>five</w:t>
      </w:r>
      <w:r w:rsidR="005945EB">
        <w:t xml:space="preserve"> </w:t>
      </w:r>
      <w:r w:rsidR="005945EB" w:rsidRPr="005945EB">
        <w:rPr>
          <w:b/>
          <w:i/>
        </w:rPr>
        <w:t>decision making</w:t>
      </w:r>
      <w:r w:rsidR="007D2AD5">
        <w:t xml:space="preserve"> </w:t>
      </w:r>
      <w:r w:rsidR="00F86E38">
        <w:t>‘</w:t>
      </w:r>
      <w:r>
        <w:t>sub-</w:t>
      </w:r>
      <w:r w:rsidR="007D2AD5">
        <w:t>committees</w:t>
      </w:r>
      <w:r w:rsidR="00F86E38">
        <w:t xml:space="preserve">’ </w:t>
      </w:r>
      <w:r w:rsidR="007D2AD5">
        <w:t>which are</w:t>
      </w:r>
      <w:r w:rsidR="003A380E">
        <w:t>:</w:t>
      </w:r>
    </w:p>
    <w:p w14:paraId="0B2D8AEE" w14:textId="77777777" w:rsidR="003A380E" w:rsidRDefault="003A380E" w:rsidP="003A380E">
      <w:pPr>
        <w:pStyle w:val="ListParagraph"/>
        <w:ind w:left="360"/>
      </w:pPr>
    </w:p>
    <w:p w14:paraId="3F891378" w14:textId="77777777" w:rsidR="003A380E" w:rsidRDefault="003A380E" w:rsidP="003A380E">
      <w:pPr>
        <w:pStyle w:val="ListParagraph"/>
        <w:numPr>
          <w:ilvl w:val="0"/>
          <w:numId w:val="17"/>
        </w:numPr>
      </w:pPr>
      <w:r>
        <w:t>Strategy Committee</w:t>
      </w:r>
    </w:p>
    <w:p w14:paraId="4DBDA72A" w14:textId="77777777" w:rsidR="003A380E" w:rsidRDefault="003A380E" w:rsidP="003A380E">
      <w:pPr>
        <w:pStyle w:val="ListParagraph"/>
        <w:numPr>
          <w:ilvl w:val="0"/>
          <w:numId w:val="17"/>
        </w:numPr>
      </w:pPr>
      <w:r>
        <w:t>Enterprise Zone Board</w:t>
      </w:r>
    </w:p>
    <w:p w14:paraId="7FC2DE08" w14:textId="77777777" w:rsidR="003A380E" w:rsidRDefault="003A380E" w:rsidP="003A380E">
      <w:pPr>
        <w:pStyle w:val="ListParagraph"/>
        <w:numPr>
          <w:ilvl w:val="0"/>
          <w:numId w:val="17"/>
        </w:numPr>
      </w:pPr>
      <w:r>
        <w:t>Local Transport Board</w:t>
      </w:r>
    </w:p>
    <w:p w14:paraId="71CCC8B2" w14:textId="77777777" w:rsidR="003A380E" w:rsidRDefault="003A380E" w:rsidP="003A380E">
      <w:pPr>
        <w:pStyle w:val="ListParagraph"/>
        <w:numPr>
          <w:ilvl w:val="0"/>
          <w:numId w:val="17"/>
        </w:numPr>
      </w:pPr>
      <w:r>
        <w:t>Employer Education and Skills Board</w:t>
      </w:r>
    </w:p>
    <w:p w14:paraId="583C552A" w14:textId="77777777" w:rsidR="003A380E" w:rsidRDefault="003A380E" w:rsidP="003A380E">
      <w:pPr>
        <w:pStyle w:val="ListParagraph"/>
        <w:numPr>
          <w:ilvl w:val="0"/>
          <w:numId w:val="17"/>
        </w:numPr>
      </w:pPr>
      <w:r>
        <w:t>European Social Investment Fund Committee</w:t>
      </w:r>
    </w:p>
    <w:p w14:paraId="08999C9E" w14:textId="67BDA525" w:rsidR="003A380E" w:rsidRDefault="003A380E" w:rsidP="003A380E">
      <w:r>
        <w:t xml:space="preserve">In addition to the above, we have a small number of </w:t>
      </w:r>
      <w:r w:rsidRPr="005945EB">
        <w:rPr>
          <w:b/>
          <w:i/>
        </w:rPr>
        <w:t>governance</w:t>
      </w:r>
      <w:r>
        <w:t xml:space="preserve"> </w:t>
      </w:r>
      <w:r w:rsidR="005945EB">
        <w:t>sub-</w:t>
      </w:r>
      <w:r>
        <w:t>committees, including Finance and Audit, Appointments and Remuneration and an independent Overview &amp; Scrutiny Committee</w:t>
      </w:r>
      <w:r w:rsidR="00A56E2F">
        <w:t xml:space="preserve">, as well as the Performance and Investment committee which reviews the decisions taken by the </w:t>
      </w:r>
      <w:proofErr w:type="gramStart"/>
      <w:r w:rsidR="00A56E2F">
        <w:t>decision making</w:t>
      </w:r>
      <w:proofErr w:type="gramEnd"/>
      <w:r w:rsidR="00A56E2F">
        <w:t xml:space="preserve"> committees.</w:t>
      </w:r>
    </w:p>
    <w:p w14:paraId="49A6858E" w14:textId="77777777" w:rsidR="003A380E" w:rsidRDefault="003A380E" w:rsidP="003A380E">
      <w:pPr>
        <w:pStyle w:val="ListParagraph"/>
        <w:ind w:left="360"/>
      </w:pPr>
    </w:p>
    <w:p w14:paraId="50A4BDA3" w14:textId="47E64D05" w:rsidR="00087B3B" w:rsidRPr="009B6676" w:rsidRDefault="00087B3B" w:rsidP="00D34E9D">
      <w:pPr>
        <w:pStyle w:val="ListParagraph"/>
        <w:numPr>
          <w:ilvl w:val="0"/>
          <w:numId w:val="11"/>
        </w:numPr>
      </w:pPr>
      <w:r>
        <w:t xml:space="preserve">Following the decision to bring the Growth Hub in-house, </w:t>
      </w:r>
      <w:r w:rsidR="00917CFA">
        <w:t xml:space="preserve">it would be sensible to </w:t>
      </w:r>
      <w:r>
        <w:t xml:space="preserve">establish a </w:t>
      </w:r>
      <w:r w:rsidR="005945EB">
        <w:t xml:space="preserve">further sub-committee, and would advise setting up a </w:t>
      </w:r>
      <w:r>
        <w:t xml:space="preserve">Business Growth Board, which would provide oversight and </w:t>
      </w:r>
      <w:r w:rsidR="00453FEE">
        <w:t xml:space="preserve">policy </w:t>
      </w:r>
      <w:r>
        <w:t xml:space="preserve">direction to the </w:t>
      </w:r>
      <w:r w:rsidR="00453FEE">
        <w:t>G</w:t>
      </w:r>
      <w:r>
        <w:t xml:space="preserve">rowth </w:t>
      </w:r>
      <w:r w:rsidR="00453FEE">
        <w:t>H</w:t>
      </w:r>
      <w:r>
        <w:t>ub</w:t>
      </w:r>
      <w:r w:rsidR="003A380E">
        <w:t xml:space="preserve"> and its</w:t>
      </w:r>
      <w:r>
        <w:t xml:space="preserve"> activities.  </w:t>
      </w:r>
      <w:r w:rsidR="00453FEE">
        <w:t xml:space="preserve"> </w:t>
      </w:r>
      <w:r w:rsidR="003A380E">
        <w:t xml:space="preserve">This </w:t>
      </w:r>
      <w:r w:rsidR="00A711B3">
        <w:t>would replace the Business Growth Strategy group which currently performs an advisory function</w:t>
      </w:r>
      <w:r w:rsidR="005945EB">
        <w:t xml:space="preserve"> and would have a clear remit to provide direction and focus to the Growth Hubs activities</w:t>
      </w:r>
      <w:r w:rsidR="00A711B3">
        <w:t xml:space="preserve">.  </w:t>
      </w:r>
      <w:r w:rsidR="00453FEE" w:rsidRPr="003A380E">
        <w:rPr>
          <w:b/>
        </w:rPr>
        <w:t xml:space="preserve">Does the Board agree to the establishment of a Business Growth </w:t>
      </w:r>
      <w:r w:rsidR="000C4B5D" w:rsidRPr="003A380E">
        <w:rPr>
          <w:b/>
        </w:rPr>
        <w:t>B</w:t>
      </w:r>
      <w:r w:rsidR="00453FEE" w:rsidRPr="003A380E">
        <w:rPr>
          <w:b/>
        </w:rPr>
        <w:t>oard?</w:t>
      </w:r>
    </w:p>
    <w:p w14:paraId="2D9FAAB9" w14:textId="77777777" w:rsidR="005D699C" w:rsidRDefault="005D699C" w:rsidP="00453FEE"/>
    <w:p w14:paraId="40787D8C" w14:textId="7D48AF90" w:rsidR="00087B3B" w:rsidRPr="005D699C" w:rsidRDefault="005D699C" w:rsidP="005D699C">
      <w:pPr>
        <w:rPr>
          <w:b/>
        </w:rPr>
      </w:pPr>
      <w:r w:rsidRPr="005D699C">
        <w:rPr>
          <w:b/>
        </w:rPr>
        <w:t>Governance</w:t>
      </w:r>
    </w:p>
    <w:p w14:paraId="247E3678" w14:textId="45291E85" w:rsidR="00497091" w:rsidRPr="00CC3578" w:rsidRDefault="00087B3B" w:rsidP="009D315E">
      <w:pPr>
        <w:pStyle w:val="ListParagraph"/>
        <w:numPr>
          <w:ilvl w:val="0"/>
          <w:numId w:val="11"/>
        </w:numPr>
        <w:rPr>
          <w:b/>
        </w:rPr>
      </w:pPr>
      <w:r>
        <w:t>The size</w:t>
      </w:r>
      <w:r w:rsidR="00453FEE">
        <w:t xml:space="preserve">, </w:t>
      </w:r>
      <w:r>
        <w:t>structure</w:t>
      </w:r>
      <w:r w:rsidR="00453FEE">
        <w:t xml:space="preserve"> and membership of </w:t>
      </w:r>
      <w:r w:rsidR="00A1265A">
        <w:t xml:space="preserve">current </w:t>
      </w:r>
      <w:r w:rsidR="00453FEE">
        <w:t>sub-committees varies significantly.</w:t>
      </w:r>
      <w:r w:rsidR="00A1265A">
        <w:t xml:space="preserve">  </w:t>
      </w:r>
      <w:r>
        <w:t>In order to ensure robust governance and transparency</w:t>
      </w:r>
      <w:r w:rsidR="00453FEE">
        <w:t xml:space="preserve"> moving forward</w:t>
      </w:r>
      <w:r>
        <w:t xml:space="preserve">, </w:t>
      </w:r>
      <w:r w:rsidR="00CC3578">
        <w:t>the appointment process outlined above will enable us to b</w:t>
      </w:r>
      <w:r>
        <w:t>ring some standardisation to</w:t>
      </w:r>
      <w:r w:rsidR="005945EB">
        <w:t xml:space="preserve"> both</w:t>
      </w:r>
      <w:r>
        <w:t xml:space="preserve"> the</w:t>
      </w:r>
      <w:r w:rsidR="003A380E">
        <w:t xml:space="preserve"> constitution and </w:t>
      </w:r>
      <w:r>
        <w:t xml:space="preserve">appointment </w:t>
      </w:r>
      <w:r w:rsidR="00B95935">
        <w:t>process</w:t>
      </w:r>
      <w:r w:rsidR="00CC3578">
        <w:t xml:space="preserve">, while also helping us to </w:t>
      </w:r>
      <w:r w:rsidR="003A380E">
        <w:t xml:space="preserve">shape </w:t>
      </w:r>
      <w:r w:rsidR="005D699C">
        <w:t>committees</w:t>
      </w:r>
      <w:r w:rsidR="003A380E">
        <w:t xml:space="preserve"> </w:t>
      </w:r>
      <w:r w:rsidR="00CC3578">
        <w:t xml:space="preserve">to ensure that </w:t>
      </w:r>
      <w:r w:rsidR="003A380E">
        <w:t xml:space="preserve">they </w:t>
      </w:r>
      <w:r w:rsidR="005D699C">
        <w:t xml:space="preserve">have the relevant breadth of </w:t>
      </w:r>
      <w:r w:rsidR="00497091">
        <w:t xml:space="preserve">experience and </w:t>
      </w:r>
      <w:r w:rsidR="005D699C">
        <w:t xml:space="preserve">expertise.    </w:t>
      </w:r>
    </w:p>
    <w:p w14:paraId="26DBC847" w14:textId="77777777" w:rsidR="00CC3578" w:rsidRPr="00917CFA" w:rsidRDefault="00CC3578" w:rsidP="00CC3578">
      <w:pPr>
        <w:pStyle w:val="ListParagraph"/>
        <w:ind w:left="501"/>
        <w:rPr>
          <w:b/>
        </w:rPr>
      </w:pPr>
    </w:p>
    <w:p w14:paraId="7ACC69C4" w14:textId="04BB2371" w:rsidR="00917CFA" w:rsidRPr="00497091" w:rsidRDefault="00917CFA" w:rsidP="009D315E">
      <w:pPr>
        <w:pStyle w:val="ListParagraph"/>
        <w:numPr>
          <w:ilvl w:val="0"/>
          <w:numId w:val="11"/>
        </w:numPr>
        <w:rPr>
          <w:b/>
        </w:rPr>
      </w:pPr>
      <w:r>
        <w:lastRenderedPageBreak/>
        <w:t xml:space="preserve">In delivering a more structured approach to sub-committee appointment and membership, it would </w:t>
      </w:r>
      <w:r w:rsidR="00CC3578">
        <w:t xml:space="preserve">also </w:t>
      </w:r>
      <w:r>
        <w:t>be sensible to ensure a clear line of accountability to the LEP Board.  We should therefore look to ensure that full Board members chair each sub-committee</w:t>
      </w:r>
      <w:r w:rsidR="00E711AE">
        <w:t xml:space="preserve">.  It may also be advisable to appoint a Deputy Chair, again from the LEP Board who is able to deputise as necessary for the Chair, but again providing direct accountability to the LEP Board.  Other sub-committee members could be drawn from the main LEP Board or a wider group as happens currently. </w:t>
      </w:r>
      <w:r>
        <w:t xml:space="preserve"> </w:t>
      </w:r>
      <w:r w:rsidR="00E711AE" w:rsidRPr="00A1265A">
        <w:rPr>
          <w:b/>
        </w:rPr>
        <w:t xml:space="preserve">Does the Board agree with the appointment of </w:t>
      </w:r>
      <w:r w:rsidR="00E711AE">
        <w:rPr>
          <w:b/>
        </w:rPr>
        <w:t xml:space="preserve">LEP Board </w:t>
      </w:r>
      <w:r w:rsidR="00E711AE" w:rsidRPr="00A1265A">
        <w:rPr>
          <w:b/>
        </w:rPr>
        <w:t>Deputy Chairs for each sub-committee?</w:t>
      </w:r>
    </w:p>
    <w:p w14:paraId="24646359" w14:textId="77777777" w:rsidR="00497091" w:rsidRPr="00497091" w:rsidRDefault="00497091" w:rsidP="00497091">
      <w:pPr>
        <w:pStyle w:val="ListParagraph"/>
        <w:ind w:left="360"/>
        <w:rPr>
          <w:b/>
        </w:rPr>
      </w:pPr>
    </w:p>
    <w:p w14:paraId="1A298AA0" w14:textId="086C2A62" w:rsidR="00A1265A" w:rsidRDefault="00E711AE" w:rsidP="00BB0068">
      <w:pPr>
        <w:pStyle w:val="ListParagraph"/>
        <w:numPr>
          <w:ilvl w:val="0"/>
          <w:numId w:val="11"/>
        </w:numPr>
      </w:pPr>
      <w:r>
        <w:t xml:space="preserve">In moving to this more structured approach, it would also mean that sub-committee activity could continue unhindered while the fuller governance arrangements are put in place </w:t>
      </w:r>
      <w:proofErr w:type="spellStart"/>
      <w:r>
        <w:t>ie</w:t>
      </w:r>
      <w:proofErr w:type="spellEnd"/>
      <w:r>
        <w:t xml:space="preserve"> with two Board members and a representative from each</w:t>
      </w:r>
      <w:r w:rsidR="00802E71">
        <w:t xml:space="preserve"> of our </w:t>
      </w:r>
      <w:r>
        <w:t>local authorit</w:t>
      </w:r>
      <w:r w:rsidR="00802E71">
        <w:t>ies</w:t>
      </w:r>
      <w:r>
        <w:t xml:space="preserve"> in place, meetings would be </w:t>
      </w:r>
      <w:r w:rsidR="00802E71">
        <w:t>quorate,</w:t>
      </w:r>
      <w:r>
        <w:t xml:space="preserve"> and voting could </w:t>
      </w:r>
      <w:r w:rsidR="00802E71">
        <w:t>operate.  However, wider sub-committee members would be unable to vote un</w:t>
      </w:r>
      <w:r w:rsidR="00402590">
        <w:t xml:space="preserve">less </w:t>
      </w:r>
      <w:r w:rsidR="00802E71">
        <w:t>they had been appointed through an open and transparent process.  We would want to set in hand an appointment process to conclude this swiftly.</w:t>
      </w:r>
      <w:r w:rsidR="00402590">
        <w:t xml:space="preserve">  There would be no bar on the number of non</w:t>
      </w:r>
      <w:r w:rsidR="00CC3578">
        <w:t>-</w:t>
      </w:r>
      <w:r w:rsidR="00402590">
        <w:t>voting members, enabling sub-committees to draw in expertise as necessary.</w:t>
      </w:r>
    </w:p>
    <w:p w14:paraId="46B7E87A" w14:textId="77777777" w:rsidR="00A1265A" w:rsidRDefault="00A1265A" w:rsidP="00A1265A">
      <w:pPr>
        <w:pStyle w:val="ListParagraph"/>
      </w:pPr>
    </w:p>
    <w:p w14:paraId="7566FF34" w14:textId="416D60B4" w:rsidR="00065D9C" w:rsidRPr="007F3EC9" w:rsidRDefault="00802E71" w:rsidP="00BB0068">
      <w:pPr>
        <w:pStyle w:val="ListParagraph"/>
        <w:numPr>
          <w:ilvl w:val="0"/>
          <w:numId w:val="11"/>
        </w:numPr>
      </w:pPr>
      <w:r>
        <w:t>Representation from l</w:t>
      </w:r>
      <w:r w:rsidR="00497091">
        <w:t>ocal authorit</w:t>
      </w:r>
      <w:r w:rsidR="00A1265A">
        <w:t>y partners</w:t>
      </w:r>
      <w:r>
        <w:t xml:space="preserve"> tends to vary, with local councillors attending </w:t>
      </w:r>
      <w:proofErr w:type="gramStart"/>
      <w:r>
        <w:t>a number of</w:t>
      </w:r>
      <w:proofErr w:type="gramEnd"/>
      <w:r>
        <w:t xml:space="preserve"> sub-committees and officers’ others.  For absolute transparency g</w:t>
      </w:r>
      <w:r w:rsidR="00320D43">
        <w:t>oing forward,</w:t>
      </w:r>
      <w:r>
        <w:t xml:space="preserve"> it may be sensible to ask local authorities to provide an assurance that officers have the authority to vote.  This will be particularly important while the full governance arrangements are set in place.  </w:t>
      </w:r>
      <w:r w:rsidR="00065D9C" w:rsidRPr="007F3EC9">
        <w:rPr>
          <w:b/>
        </w:rPr>
        <w:t>Does the Board agree this approach?</w:t>
      </w:r>
    </w:p>
    <w:p w14:paraId="653E0A42" w14:textId="77777777" w:rsidR="007F3EC9" w:rsidRDefault="007F3EC9" w:rsidP="007F3EC9">
      <w:pPr>
        <w:pStyle w:val="ListParagraph"/>
      </w:pPr>
    </w:p>
    <w:p w14:paraId="619C266E" w14:textId="77777777" w:rsidR="00065D9C" w:rsidRDefault="00065D9C" w:rsidP="00065D9C">
      <w:pPr>
        <w:pStyle w:val="ListParagraph"/>
      </w:pPr>
    </w:p>
    <w:p w14:paraId="792AB750" w14:textId="43DF12EB" w:rsidR="00065D9C" w:rsidRDefault="00065D9C" w:rsidP="00065D9C">
      <w:r w:rsidRPr="00065D9C">
        <w:rPr>
          <w:b/>
        </w:rPr>
        <w:t xml:space="preserve">Delegated </w:t>
      </w:r>
      <w:r w:rsidR="00A1265A">
        <w:rPr>
          <w:b/>
        </w:rPr>
        <w:t xml:space="preserve">Funding </w:t>
      </w:r>
      <w:r w:rsidRPr="00065D9C">
        <w:rPr>
          <w:b/>
        </w:rPr>
        <w:t>Authority</w:t>
      </w:r>
    </w:p>
    <w:p w14:paraId="58817322" w14:textId="1D7903FB" w:rsidR="00065D9C" w:rsidRDefault="00065D9C" w:rsidP="00D10BB9">
      <w:pPr>
        <w:pStyle w:val="ListParagraph"/>
        <w:numPr>
          <w:ilvl w:val="0"/>
          <w:numId w:val="11"/>
        </w:numPr>
      </w:pPr>
      <w:r>
        <w:t>The diagram below sets out the proposed sub-committee structure and identifies those committees that are advisory in</w:t>
      </w:r>
      <w:r w:rsidR="007C150D">
        <w:t xml:space="preserve"> nature</w:t>
      </w:r>
      <w:r>
        <w:t xml:space="preserve"> and those that, with </w:t>
      </w:r>
      <w:r w:rsidR="00373B98">
        <w:t xml:space="preserve">appropriate </w:t>
      </w:r>
      <w:r>
        <w:t xml:space="preserve">delegated authority, could take decisions.  </w:t>
      </w:r>
    </w:p>
    <w:p w14:paraId="469A797E" w14:textId="77777777" w:rsidR="00A265E6" w:rsidRDefault="00A265E6" w:rsidP="00A265E6">
      <w:pPr>
        <w:pStyle w:val="ListParagraph"/>
        <w:ind w:left="501"/>
      </w:pPr>
    </w:p>
    <w:p w14:paraId="1FBBC7AA" w14:textId="3D811E6D" w:rsidR="009B6676" w:rsidRPr="00321694" w:rsidRDefault="00A265E6" w:rsidP="00321694">
      <w:r>
        <w:rPr>
          <w:noProof/>
        </w:rPr>
        <w:drawing>
          <wp:inline distT="0" distB="0" distL="0" distR="0" wp14:anchorId="6A19CC23" wp14:editId="15BC6522">
            <wp:extent cx="6162675" cy="1933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1933575"/>
                    </a:xfrm>
                    <a:prstGeom prst="rect">
                      <a:avLst/>
                    </a:prstGeom>
                    <a:noFill/>
                    <a:ln>
                      <a:noFill/>
                    </a:ln>
                  </pic:spPr>
                </pic:pic>
              </a:graphicData>
            </a:graphic>
          </wp:inline>
        </w:drawing>
      </w:r>
    </w:p>
    <w:p w14:paraId="65D3C871" w14:textId="77777777" w:rsidR="003A380E" w:rsidRDefault="003A380E" w:rsidP="009B6676">
      <w:pPr>
        <w:pStyle w:val="ListParagraph"/>
        <w:ind w:left="360"/>
      </w:pPr>
    </w:p>
    <w:p w14:paraId="412B1073" w14:textId="58378CF0" w:rsidR="00065D9C" w:rsidRPr="00C964E0" w:rsidRDefault="003A380E" w:rsidP="0056520C">
      <w:pPr>
        <w:pStyle w:val="ListParagraph"/>
        <w:numPr>
          <w:ilvl w:val="0"/>
          <w:numId w:val="11"/>
        </w:numPr>
        <w:rPr>
          <w:b/>
        </w:rPr>
      </w:pPr>
      <w:r>
        <w:lastRenderedPageBreak/>
        <w:t xml:space="preserve">If the sub-committees are to function effectively, and to avoid repeating discussions in the full LEP Board, it would make sense to empower sub-committees to make decisions.  This would mean enabling </w:t>
      </w:r>
      <w:r w:rsidR="0056520C">
        <w:t xml:space="preserve">a sub-committee to conclude </w:t>
      </w:r>
      <w:proofErr w:type="gramStart"/>
      <w:r w:rsidR="0056520C">
        <w:t>the majority of</w:t>
      </w:r>
      <w:proofErr w:type="gramEnd"/>
      <w:r w:rsidR="0056520C">
        <w:t xml:space="preserve"> business which comes before it, without having to revert to the full LEP Board to </w:t>
      </w:r>
      <w:r w:rsidR="00685716">
        <w:t>re</w:t>
      </w:r>
      <w:r w:rsidR="00402590">
        <w:t>peat</w:t>
      </w:r>
      <w:r w:rsidR="00685716">
        <w:t xml:space="preserve"> those discussions and </w:t>
      </w:r>
      <w:r w:rsidR="0056520C">
        <w:t>decisions</w:t>
      </w:r>
      <w:r w:rsidR="00685716">
        <w:t>, again creating more space at full Board meetings to discuss strategic issues</w:t>
      </w:r>
      <w:r w:rsidR="0056520C">
        <w:t xml:space="preserve">.  It is worth noting that from 2019, the full LEP Board will have already </w:t>
      </w:r>
      <w:r w:rsidR="00685716">
        <w:t>a</w:t>
      </w:r>
      <w:r w:rsidR="0056520C">
        <w:t>gree</w:t>
      </w:r>
      <w:r w:rsidR="00685716">
        <w:t>d an</w:t>
      </w:r>
      <w:r w:rsidR="0056520C">
        <w:t xml:space="preserve"> Annual Delivery plan</w:t>
      </w:r>
      <w:r w:rsidR="00321694">
        <w:t>,</w:t>
      </w:r>
      <w:r w:rsidR="0056520C">
        <w:t xml:space="preserve"> which is </w:t>
      </w:r>
      <w:r w:rsidR="00321694">
        <w:t xml:space="preserve">a requirement flowing from the </w:t>
      </w:r>
      <w:r w:rsidR="0056520C">
        <w:t>LEP Review</w:t>
      </w:r>
      <w:r w:rsidR="00685716">
        <w:t xml:space="preserve"> and so a very clear road map will have already been provided to each sub-committee</w:t>
      </w:r>
      <w:r w:rsidR="0056520C">
        <w:t xml:space="preserve">.  In addition, sub-committees </w:t>
      </w:r>
      <w:r w:rsidR="00321694">
        <w:t xml:space="preserve">will continue to </w:t>
      </w:r>
      <w:r w:rsidR="0056520C">
        <w:t>circulat</w:t>
      </w:r>
      <w:r w:rsidR="00321694">
        <w:t>e</w:t>
      </w:r>
      <w:r w:rsidR="0056520C">
        <w:t xml:space="preserve"> </w:t>
      </w:r>
      <w:r w:rsidR="00685716">
        <w:t xml:space="preserve">the </w:t>
      </w:r>
      <w:r w:rsidR="0056520C">
        <w:t>minutes</w:t>
      </w:r>
      <w:r w:rsidR="00685716">
        <w:t xml:space="preserve"> of meetings to </w:t>
      </w:r>
      <w:r w:rsidR="00321694">
        <w:t>all Board members</w:t>
      </w:r>
      <w:r w:rsidR="00685716">
        <w:t xml:space="preserve">, in order </w:t>
      </w:r>
      <w:r w:rsidR="00321694">
        <w:t>to ensure that they are fully aware of decisions being made</w:t>
      </w:r>
      <w:r w:rsidR="0056520C">
        <w:t xml:space="preserve">.  Clearly, if decisions exceeded </w:t>
      </w:r>
      <w:r w:rsidR="00321694">
        <w:t xml:space="preserve">the </w:t>
      </w:r>
      <w:r w:rsidR="0056520C">
        <w:t>agreed limits then they would have to revert to the full Board.</w:t>
      </w:r>
      <w:r w:rsidR="00C964E0">
        <w:t xml:space="preserve">  </w:t>
      </w:r>
    </w:p>
    <w:p w14:paraId="6626C11B" w14:textId="77777777" w:rsidR="00C964E0" w:rsidRPr="00C964E0" w:rsidRDefault="00C964E0" w:rsidP="00C964E0">
      <w:pPr>
        <w:pStyle w:val="ListParagraph"/>
        <w:ind w:left="501"/>
        <w:rPr>
          <w:b/>
        </w:rPr>
      </w:pPr>
    </w:p>
    <w:p w14:paraId="3336CBDC" w14:textId="6CC85C6A" w:rsidR="00C964E0" w:rsidRPr="00C964E0" w:rsidRDefault="00C964E0" w:rsidP="0056520C">
      <w:pPr>
        <w:pStyle w:val="ListParagraph"/>
        <w:numPr>
          <w:ilvl w:val="0"/>
          <w:numId w:val="11"/>
        </w:numPr>
      </w:pPr>
      <w:r>
        <w:t xml:space="preserve">There needs to be financial oversight of any decisions and so we would want our S151 officer, or other nominee, to provide that.  Moving forward this may be a role the LEP’s Financial Director could play, but only if our S151 officer was content.  </w:t>
      </w:r>
    </w:p>
    <w:p w14:paraId="6238979B" w14:textId="77777777" w:rsidR="0056520C" w:rsidRPr="0056520C" w:rsidRDefault="0056520C" w:rsidP="0056520C">
      <w:pPr>
        <w:pStyle w:val="ListParagraph"/>
        <w:ind w:left="360"/>
        <w:rPr>
          <w:b/>
        </w:rPr>
      </w:pPr>
    </w:p>
    <w:p w14:paraId="246349BC" w14:textId="35F98729" w:rsidR="0056520C" w:rsidRPr="007A77F0" w:rsidRDefault="0056520C" w:rsidP="006D79CE">
      <w:pPr>
        <w:pStyle w:val="ListParagraph"/>
        <w:numPr>
          <w:ilvl w:val="0"/>
          <w:numId w:val="11"/>
        </w:numPr>
      </w:pPr>
      <w:r w:rsidRPr="0056520C">
        <w:t>The table at Annex A</w:t>
      </w:r>
      <w:r>
        <w:t xml:space="preserve"> sets out the proposed limits of delegation, based on the activity already being handled by respective sub-committees.  As discussed earlier, if delegations are to be effective then </w:t>
      </w:r>
      <w:proofErr w:type="gramStart"/>
      <w:r>
        <w:t>the majority of</w:t>
      </w:r>
      <w:proofErr w:type="gramEnd"/>
      <w:r>
        <w:t xml:space="preserve"> business (say 80%), should be concluded without further recourse to discussion in the main Board.</w:t>
      </w:r>
      <w:r w:rsidR="00321694">
        <w:t xml:space="preserve">  </w:t>
      </w:r>
      <w:r w:rsidR="00402590">
        <w:t xml:space="preserve">However, it would be important to ensure that the more significant decisions (the remaining </w:t>
      </w:r>
      <w:r w:rsidR="00321694">
        <w:t>20% of business</w:t>
      </w:r>
      <w:r w:rsidR="00402590">
        <w:t xml:space="preserve">) </w:t>
      </w:r>
      <w:r w:rsidR="001526C7">
        <w:t xml:space="preserve">are </w:t>
      </w:r>
      <w:r w:rsidR="00402590">
        <w:t xml:space="preserve">brought back to the </w:t>
      </w:r>
      <w:r w:rsidR="00321694">
        <w:t>full LEP Board for discussion and decision.</w:t>
      </w:r>
      <w:r w:rsidR="00685716">
        <w:t xml:space="preserve">  </w:t>
      </w:r>
      <w:r w:rsidR="00402590">
        <w:t xml:space="preserve">In addition, all novel and contentious decisions would be brought to the full LEP Board, irrespective of value.  </w:t>
      </w:r>
      <w:r w:rsidR="00685716">
        <w:t>The Executive would recommend reviewing these levels after 6 months</w:t>
      </w:r>
      <w:r w:rsidR="00272384">
        <w:t>,</w:t>
      </w:r>
      <w:r w:rsidR="00685716">
        <w:t xml:space="preserve"> in order to ensure that business is flowing </w:t>
      </w:r>
      <w:proofErr w:type="gramStart"/>
      <w:r w:rsidR="00685716">
        <w:t>effectively</w:t>
      </w:r>
      <w:proofErr w:type="gramEnd"/>
      <w:r w:rsidR="00685716">
        <w:t xml:space="preserve"> and the full Board remains comfortable with the</w:t>
      </w:r>
      <w:r w:rsidR="00272384">
        <w:t xml:space="preserve"> levels that have been set, in the light of decisions that</w:t>
      </w:r>
      <w:r w:rsidR="00EE4C68">
        <w:t xml:space="preserve"> had been </w:t>
      </w:r>
      <w:r w:rsidR="00272384">
        <w:t>taken.</w:t>
      </w:r>
      <w:r w:rsidR="00685716">
        <w:t xml:space="preserve">  </w:t>
      </w:r>
      <w:r w:rsidR="00321694" w:rsidRPr="00321694">
        <w:rPr>
          <w:b/>
        </w:rPr>
        <w:t>Does the Board agree with the proposed levels of delegation</w:t>
      </w:r>
      <w:r w:rsidR="00272384">
        <w:rPr>
          <w:b/>
        </w:rPr>
        <w:t xml:space="preserve"> set out at Annex A and that these are reviewed after 6 months of operation</w:t>
      </w:r>
      <w:r w:rsidR="00321694" w:rsidRPr="00321694">
        <w:rPr>
          <w:b/>
        </w:rPr>
        <w:t xml:space="preserve">? </w:t>
      </w:r>
    </w:p>
    <w:p w14:paraId="563F52DC" w14:textId="77777777" w:rsidR="007A77F0" w:rsidRDefault="007A77F0" w:rsidP="007A77F0">
      <w:pPr>
        <w:pStyle w:val="ListParagraph"/>
      </w:pPr>
    </w:p>
    <w:p w14:paraId="11612118" w14:textId="75DB66C7" w:rsidR="007A77F0" w:rsidRDefault="007A77F0">
      <w:r>
        <w:br w:type="page"/>
      </w:r>
    </w:p>
    <w:tbl>
      <w:tblPr>
        <w:tblStyle w:val="TableGrid"/>
        <w:tblW w:w="9493" w:type="dxa"/>
        <w:tblLook w:val="04A0" w:firstRow="1" w:lastRow="0" w:firstColumn="1" w:lastColumn="0" w:noHBand="0" w:noVBand="1"/>
      </w:tblPr>
      <w:tblGrid>
        <w:gridCol w:w="1696"/>
        <w:gridCol w:w="3828"/>
        <w:gridCol w:w="1976"/>
        <w:gridCol w:w="1993"/>
      </w:tblGrid>
      <w:tr w:rsidR="00EE4C68" w14:paraId="01F344D4" w14:textId="5684C05F" w:rsidTr="00EE4C68">
        <w:tc>
          <w:tcPr>
            <w:tcW w:w="1696" w:type="dxa"/>
          </w:tcPr>
          <w:p w14:paraId="732F7866" w14:textId="760D5EC4" w:rsidR="00EE4C68" w:rsidRDefault="00EE4C68" w:rsidP="007A77F0">
            <w:r>
              <w:lastRenderedPageBreak/>
              <w:t>Sub-Committee</w:t>
            </w:r>
          </w:p>
        </w:tc>
        <w:tc>
          <w:tcPr>
            <w:tcW w:w="3828" w:type="dxa"/>
          </w:tcPr>
          <w:p w14:paraId="7F2ADAF6" w14:textId="2574CA27" w:rsidR="00EE4C68" w:rsidRDefault="00EE4C68" w:rsidP="007A77F0">
            <w:r>
              <w:t>Proposed Delegation</w:t>
            </w:r>
          </w:p>
        </w:tc>
        <w:tc>
          <w:tcPr>
            <w:tcW w:w="1976" w:type="dxa"/>
          </w:tcPr>
          <w:p w14:paraId="2A1EFD97" w14:textId="7C018514" w:rsidR="00EE4C68" w:rsidRDefault="00EE4C68" w:rsidP="007A77F0">
            <w:r>
              <w:t>Level of Delegation</w:t>
            </w:r>
          </w:p>
        </w:tc>
        <w:tc>
          <w:tcPr>
            <w:tcW w:w="1993" w:type="dxa"/>
          </w:tcPr>
          <w:p w14:paraId="3DD4D929" w14:textId="736B0038" w:rsidR="00EE4C68" w:rsidRDefault="00EE4C68" w:rsidP="007A77F0">
            <w:r>
              <w:t>Board Member</w:t>
            </w:r>
          </w:p>
        </w:tc>
      </w:tr>
      <w:tr w:rsidR="00EE4C68" w14:paraId="7CFD2D5C" w14:textId="299BD78E" w:rsidTr="00EE4C68">
        <w:tc>
          <w:tcPr>
            <w:tcW w:w="1696" w:type="dxa"/>
          </w:tcPr>
          <w:p w14:paraId="346C7695" w14:textId="77777777" w:rsidR="00EE4C68" w:rsidRDefault="00EE4C68" w:rsidP="007A77F0"/>
          <w:p w14:paraId="6CA42A9E" w14:textId="653B710A" w:rsidR="00EE4C68" w:rsidRDefault="00EE4C68" w:rsidP="007A77F0"/>
        </w:tc>
        <w:tc>
          <w:tcPr>
            <w:tcW w:w="3828" w:type="dxa"/>
          </w:tcPr>
          <w:p w14:paraId="7103D2AE" w14:textId="77777777" w:rsidR="00EE4C68" w:rsidRDefault="00EE4C68" w:rsidP="007A77F0"/>
        </w:tc>
        <w:tc>
          <w:tcPr>
            <w:tcW w:w="1976" w:type="dxa"/>
          </w:tcPr>
          <w:p w14:paraId="3AB6418A" w14:textId="77777777" w:rsidR="00EE4C68" w:rsidRDefault="00EE4C68" w:rsidP="007A77F0"/>
        </w:tc>
        <w:tc>
          <w:tcPr>
            <w:tcW w:w="1993" w:type="dxa"/>
          </w:tcPr>
          <w:p w14:paraId="5AA93E5F" w14:textId="77777777" w:rsidR="00EE4C68" w:rsidRDefault="00EE4C68" w:rsidP="007A77F0"/>
        </w:tc>
      </w:tr>
      <w:tr w:rsidR="00EE4C68" w14:paraId="3B6ABA18" w14:textId="29CAAFE9" w:rsidTr="00EE4C68">
        <w:tc>
          <w:tcPr>
            <w:tcW w:w="1696" w:type="dxa"/>
          </w:tcPr>
          <w:p w14:paraId="17C227A6" w14:textId="08C993F5" w:rsidR="00EE4C68" w:rsidRDefault="00EE4C68" w:rsidP="007A77F0">
            <w:r>
              <w:t>Strategy Committee</w:t>
            </w:r>
          </w:p>
        </w:tc>
        <w:tc>
          <w:tcPr>
            <w:tcW w:w="3828" w:type="dxa"/>
          </w:tcPr>
          <w:p w14:paraId="0E77BD49" w14:textId="100E363E" w:rsidR="00EE4C68" w:rsidRDefault="00EE4C68" w:rsidP="00B754A2">
            <w:r>
              <w:t xml:space="preserve">The Strategy Committee sets the overarching vision and strategy for economic growth in the Cheshire and Warrington LEP area (including sign </w:t>
            </w:r>
            <w:proofErr w:type="gramStart"/>
            <w:r>
              <w:t>off of</w:t>
            </w:r>
            <w:proofErr w:type="gramEnd"/>
            <w:r>
              <w:t xml:space="preserve"> the SEP, LIS, Growth deal, ESIF strategies), including identifying priorities for investment.  The committee oversees the development of programmes and projects that seek to deliver the priorities set out in the Strategic Economic (SEP) and </w:t>
            </w:r>
            <w:r w:rsidR="001526C7">
              <w:t xml:space="preserve">related strategies and, </w:t>
            </w:r>
            <w:r>
              <w:t>going forward</w:t>
            </w:r>
            <w:r w:rsidR="001526C7">
              <w:t>,</w:t>
            </w:r>
            <w:r>
              <w:t xml:space="preserve"> the Local Industrial Strategy (LIS).  </w:t>
            </w:r>
            <w:proofErr w:type="gramStart"/>
            <w:r>
              <w:t>As long as</w:t>
            </w:r>
            <w:proofErr w:type="gramEnd"/>
            <w:r>
              <w:t xml:space="preserve"> proposed </w:t>
            </w:r>
            <w:r w:rsidRPr="006B3765">
              <w:t>projects</w:t>
            </w:r>
            <w:r>
              <w:t xml:space="preserve"> a</w:t>
            </w:r>
            <w:r w:rsidRPr="006B3765">
              <w:t>re in line with the</w:t>
            </w:r>
            <w:r>
              <w:t xml:space="preserve"> objectives set out in overarching vision and strategy approved by the full LEP Board, then t</w:t>
            </w:r>
            <w:r w:rsidRPr="006B3765">
              <w:t>he committee should have delegated a</w:t>
            </w:r>
            <w:r>
              <w:t>uthority</w:t>
            </w:r>
            <w:r w:rsidRPr="006B3765">
              <w:t xml:space="preserve"> to approve projects up</w:t>
            </w:r>
            <w:r>
              <w:t xml:space="preserve"> </w:t>
            </w:r>
            <w:r w:rsidRPr="006B3765">
              <w:t>to £2.5m</w:t>
            </w:r>
            <w:r>
              <w:t>.</w:t>
            </w:r>
          </w:p>
        </w:tc>
        <w:tc>
          <w:tcPr>
            <w:tcW w:w="1976" w:type="dxa"/>
          </w:tcPr>
          <w:p w14:paraId="22A552EB" w14:textId="3845FB63" w:rsidR="00EE4C68" w:rsidRDefault="00EE4C68" w:rsidP="006B3765">
            <w:pPr>
              <w:jc w:val="center"/>
            </w:pPr>
            <w:r>
              <w:t>£2.5m</w:t>
            </w:r>
          </w:p>
        </w:tc>
        <w:tc>
          <w:tcPr>
            <w:tcW w:w="1993" w:type="dxa"/>
          </w:tcPr>
          <w:p w14:paraId="286E580D" w14:textId="77777777" w:rsidR="00110C14" w:rsidRDefault="00110C14" w:rsidP="006B3765">
            <w:pPr>
              <w:jc w:val="center"/>
              <w:rPr>
                <w:b/>
              </w:rPr>
            </w:pPr>
          </w:p>
          <w:p w14:paraId="30CD4B39" w14:textId="4EAEF15D" w:rsidR="00110C14" w:rsidRPr="00110C14" w:rsidRDefault="00EE4C68" w:rsidP="006B3765">
            <w:pPr>
              <w:jc w:val="center"/>
              <w:rPr>
                <w:b/>
              </w:rPr>
            </w:pPr>
            <w:r w:rsidRPr="00110C14">
              <w:rPr>
                <w:b/>
              </w:rPr>
              <w:t>Chair:</w:t>
            </w:r>
          </w:p>
          <w:p w14:paraId="59BCE571" w14:textId="77777777" w:rsidR="00110C14" w:rsidRDefault="00110C14" w:rsidP="006B3765">
            <w:pPr>
              <w:jc w:val="center"/>
            </w:pPr>
          </w:p>
          <w:p w14:paraId="2621A2E3" w14:textId="1FA5A590" w:rsidR="00EE4C68" w:rsidRDefault="00EE4C68" w:rsidP="006B3765">
            <w:pPr>
              <w:jc w:val="center"/>
            </w:pPr>
            <w:r>
              <w:t xml:space="preserve"> Robert Mee</w:t>
            </w:r>
          </w:p>
          <w:p w14:paraId="0E978DBE" w14:textId="4ECB8F3D" w:rsidR="00EE4C68" w:rsidRDefault="00EE4C68" w:rsidP="006B3765">
            <w:pPr>
              <w:jc w:val="center"/>
            </w:pPr>
          </w:p>
          <w:p w14:paraId="7B048C6B" w14:textId="77777777" w:rsidR="00110C14" w:rsidRDefault="00110C14" w:rsidP="006B3765">
            <w:pPr>
              <w:jc w:val="center"/>
              <w:rPr>
                <w:b/>
              </w:rPr>
            </w:pPr>
          </w:p>
          <w:p w14:paraId="72430693" w14:textId="2C34A757" w:rsidR="00110C14" w:rsidRPr="00110C14" w:rsidRDefault="00110C14" w:rsidP="006B3765">
            <w:pPr>
              <w:jc w:val="center"/>
              <w:rPr>
                <w:b/>
              </w:rPr>
            </w:pPr>
            <w:r w:rsidRPr="00110C14">
              <w:rPr>
                <w:b/>
              </w:rPr>
              <w:t>Other:</w:t>
            </w:r>
          </w:p>
          <w:p w14:paraId="257078BF" w14:textId="77777777" w:rsidR="00110C14" w:rsidRDefault="00110C14" w:rsidP="006B3765">
            <w:pPr>
              <w:jc w:val="center"/>
            </w:pPr>
          </w:p>
          <w:p w14:paraId="1D0E1AF3" w14:textId="147197EC" w:rsidR="00110C14" w:rsidRDefault="00110C14" w:rsidP="006B3765">
            <w:pPr>
              <w:jc w:val="center"/>
            </w:pPr>
            <w:r>
              <w:t>Pete Waterman</w:t>
            </w:r>
          </w:p>
          <w:p w14:paraId="53AA562B" w14:textId="679A146A" w:rsidR="00EE4C68" w:rsidRDefault="00EE4C68" w:rsidP="006B3765">
            <w:pPr>
              <w:jc w:val="center"/>
            </w:pPr>
            <w:r>
              <w:t>Graeme Bristow</w:t>
            </w:r>
          </w:p>
          <w:p w14:paraId="2FDE4F40" w14:textId="77777777" w:rsidR="00110C14" w:rsidRDefault="00110C14" w:rsidP="006B3765">
            <w:pPr>
              <w:jc w:val="center"/>
            </w:pPr>
            <w:r>
              <w:t>Gary Steen</w:t>
            </w:r>
          </w:p>
          <w:p w14:paraId="1D49593A" w14:textId="77777777" w:rsidR="00110C14" w:rsidRDefault="00110C14" w:rsidP="006B3765">
            <w:pPr>
              <w:jc w:val="center"/>
            </w:pPr>
            <w:r>
              <w:t>Clare Hayward</w:t>
            </w:r>
          </w:p>
          <w:p w14:paraId="0EF1A6D6" w14:textId="0C2DA8BC" w:rsidR="00EE4C68" w:rsidRDefault="00110C14" w:rsidP="006B3765">
            <w:pPr>
              <w:jc w:val="center"/>
            </w:pPr>
            <w:r>
              <w:t xml:space="preserve">Stephen Kinsey </w:t>
            </w:r>
          </w:p>
          <w:p w14:paraId="5FCB389D" w14:textId="7C7E28D6" w:rsidR="00110C14" w:rsidRDefault="00110C14" w:rsidP="006B3765">
            <w:pPr>
              <w:jc w:val="center"/>
            </w:pPr>
          </w:p>
        </w:tc>
      </w:tr>
      <w:tr w:rsidR="00EE4C68" w14:paraId="27E1BEF3" w14:textId="2DE1BD7C" w:rsidTr="00EE4C68">
        <w:tc>
          <w:tcPr>
            <w:tcW w:w="1696" w:type="dxa"/>
          </w:tcPr>
          <w:p w14:paraId="0C69096E" w14:textId="1A613B49" w:rsidR="00EE4C68" w:rsidRDefault="00EE4C68" w:rsidP="007A77F0">
            <w:r>
              <w:t>Enterprise Zone Board</w:t>
            </w:r>
          </w:p>
        </w:tc>
        <w:tc>
          <w:tcPr>
            <w:tcW w:w="3828" w:type="dxa"/>
          </w:tcPr>
          <w:p w14:paraId="24941A5C" w14:textId="189B1211" w:rsidR="00EE4C68" w:rsidRDefault="00EE4C68" w:rsidP="00A947E1">
            <w:r w:rsidRPr="00190FD0">
              <w:t xml:space="preserve">The </w:t>
            </w:r>
            <w:r>
              <w:t>Enterprise Zone Board is responsible for setting and overseeing the strategic direction and operational delivery of the Cheshire Science Corridor Enterprise Zone including reviewing and approving of all businesses cases for investment in the EZ and ratifying Business Rate Discount applications approved by the EZ Steering Group.</w:t>
            </w:r>
          </w:p>
          <w:p w14:paraId="349B6C1F" w14:textId="6F3915CF" w:rsidR="00EE4C68" w:rsidRDefault="00EE4C68" w:rsidP="007A77F0">
            <w:r>
              <w:t xml:space="preserve">EZ investment projects can vary between £500k up to c.£5m, but typically range between £1m-£2.5m. The annual EZ </w:t>
            </w:r>
            <w:r w:rsidRPr="00190FD0">
              <w:t xml:space="preserve">Investment </w:t>
            </w:r>
            <w:r>
              <w:t>P</w:t>
            </w:r>
            <w:r w:rsidRPr="00190FD0">
              <w:t xml:space="preserve">rogramme is to be approved by the LEP board and </w:t>
            </w:r>
            <w:r>
              <w:t>S</w:t>
            </w:r>
            <w:r w:rsidRPr="00190FD0">
              <w:t xml:space="preserve">trategy </w:t>
            </w:r>
            <w:r>
              <w:t>C</w:t>
            </w:r>
            <w:r w:rsidRPr="00190FD0">
              <w:t>ommit</w:t>
            </w:r>
            <w:r>
              <w:t>t</w:t>
            </w:r>
            <w:r w:rsidRPr="00190FD0">
              <w:t>ee</w:t>
            </w:r>
            <w:r>
              <w:t xml:space="preserve"> with the EZ Board having delegated authority to approved projects up to £2.5m. </w:t>
            </w:r>
          </w:p>
        </w:tc>
        <w:tc>
          <w:tcPr>
            <w:tcW w:w="1976" w:type="dxa"/>
          </w:tcPr>
          <w:p w14:paraId="498FACB7" w14:textId="3B1B7CD8" w:rsidR="00EE4C68" w:rsidRDefault="00EE4C68" w:rsidP="001E6EC3">
            <w:pPr>
              <w:jc w:val="center"/>
            </w:pPr>
            <w:r>
              <w:t>£2.5m</w:t>
            </w:r>
          </w:p>
        </w:tc>
        <w:tc>
          <w:tcPr>
            <w:tcW w:w="1993" w:type="dxa"/>
          </w:tcPr>
          <w:p w14:paraId="29336369" w14:textId="77777777" w:rsidR="00EE4C68" w:rsidRDefault="00EE4C68" w:rsidP="001E6EC3">
            <w:pPr>
              <w:jc w:val="center"/>
            </w:pPr>
          </w:p>
          <w:p w14:paraId="776A1D25" w14:textId="77777777" w:rsidR="00110C14" w:rsidRDefault="00110C14" w:rsidP="001E6EC3">
            <w:pPr>
              <w:jc w:val="center"/>
              <w:rPr>
                <w:b/>
              </w:rPr>
            </w:pPr>
            <w:r w:rsidRPr="00110C14">
              <w:rPr>
                <w:b/>
              </w:rPr>
              <w:t>Chair:</w:t>
            </w:r>
          </w:p>
          <w:p w14:paraId="6FB93E9D" w14:textId="77777777" w:rsidR="00110C14" w:rsidRDefault="00110C14" w:rsidP="001E6EC3">
            <w:pPr>
              <w:jc w:val="center"/>
              <w:rPr>
                <w:b/>
              </w:rPr>
            </w:pPr>
          </w:p>
          <w:p w14:paraId="0116FE56" w14:textId="77777777" w:rsidR="00110C14" w:rsidRDefault="00110C14" w:rsidP="001E6EC3">
            <w:pPr>
              <w:jc w:val="center"/>
            </w:pPr>
            <w:r w:rsidRPr="00110C14">
              <w:t>Robert Mee</w:t>
            </w:r>
          </w:p>
          <w:p w14:paraId="14CD01B8" w14:textId="77777777" w:rsidR="00110C14" w:rsidRDefault="00110C14" w:rsidP="001E6EC3">
            <w:pPr>
              <w:jc w:val="center"/>
            </w:pPr>
          </w:p>
          <w:p w14:paraId="641E6C70" w14:textId="77777777" w:rsidR="00110C14" w:rsidRDefault="00110C14" w:rsidP="001E6EC3">
            <w:pPr>
              <w:jc w:val="center"/>
            </w:pPr>
          </w:p>
          <w:p w14:paraId="4B554BB2" w14:textId="77777777" w:rsidR="00110C14" w:rsidRPr="00110C14" w:rsidRDefault="00110C14" w:rsidP="001E6EC3">
            <w:pPr>
              <w:jc w:val="center"/>
              <w:rPr>
                <w:b/>
              </w:rPr>
            </w:pPr>
            <w:r w:rsidRPr="00110C14">
              <w:rPr>
                <w:b/>
              </w:rPr>
              <w:t>Other:</w:t>
            </w:r>
          </w:p>
          <w:p w14:paraId="6D06B162" w14:textId="77777777" w:rsidR="00110C14" w:rsidRDefault="00110C14" w:rsidP="001E6EC3">
            <w:pPr>
              <w:jc w:val="center"/>
            </w:pPr>
          </w:p>
          <w:p w14:paraId="7C776997" w14:textId="77777777" w:rsidR="00110C14" w:rsidRDefault="00110C14" w:rsidP="001E6EC3">
            <w:pPr>
              <w:jc w:val="center"/>
            </w:pPr>
            <w:r>
              <w:t>Gary Steen</w:t>
            </w:r>
          </w:p>
          <w:p w14:paraId="482F02E8" w14:textId="5CD89921" w:rsidR="00110C14" w:rsidRPr="00110C14" w:rsidRDefault="00110C14" w:rsidP="001E6EC3">
            <w:pPr>
              <w:jc w:val="center"/>
            </w:pPr>
          </w:p>
        </w:tc>
      </w:tr>
      <w:tr w:rsidR="00637B62" w14:paraId="5FF1956F" w14:textId="77777777" w:rsidTr="00EE4C68">
        <w:tc>
          <w:tcPr>
            <w:tcW w:w="1696" w:type="dxa"/>
          </w:tcPr>
          <w:p w14:paraId="0439ECBE" w14:textId="6054DA39" w:rsidR="00637B62" w:rsidRDefault="00637B62" w:rsidP="007A77F0">
            <w:r>
              <w:t>Local Transport Board</w:t>
            </w:r>
          </w:p>
        </w:tc>
        <w:tc>
          <w:tcPr>
            <w:tcW w:w="3828" w:type="dxa"/>
          </w:tcPr>
          <w:p w14:paraId="3D3BD684" w14:textId="745D62E6" w:rsidR="00637B62" w:rsidRDefault="00637B62" w:rsidP="00A947E1">
            <w:r>
              <w:t>The main role of the Local Transport Board is to provide strategic direction to transport in the sub-region.  Therefore, the spending decisions are limited to the deployment of consultancy spend.  Significant capital investments are taken by Transport Authorities</w:t>
            </w:r>
            <w:r w:rsidR="00110C14" w:rsidRPr="001526C7">
              <w:t>.</w:t>
            </w:r>
          </w:p>
        </w:tc>
        <w:tc>
          <w:tcPr>
            <w:tcW w:w="1976" w:type="dxa"/>
          </w:tcPr>
          <w:p w14:paraId="3BA16736" w14:textId="33E5D12C" w:rsidR="00637B62" w:rsidRDefault="00637B62" w:rsidP="001E6EC3">
            <w:pPr>
              <w:jc w:val="center"/>
            </w:pPr>
            <w:r>
              <w:t>£500k</w:t>
            </w:r>
          </w:p>
        </w:tc>
        <w:tc>
          <w:tcPr>
            <w:tcW w:w="1993" w:type="dxa"/>
          </w:tcPr>
          <w:p w14:paraId="7A667C9B" w14:textId="77777777" w:rsidR="00637B62" w:rsidRDefault="00637B62" w:rsidP="001E6EC3">
            <w:pPr>
              <w:jc w:val="center"/>
            </w:pPr>
          </w:p>
          <w:p w14:paraId="6C0BF1F5" w14:textId="77777777" w:rsidR="00110C14" w:rsidRDefault="00110C14" w:rsidP="001E6EC3">
            <w:pPr>
              <w:jc w:val="center"/>
            </w:pPr>
            <w:r>
              <w:t>Chair:</w:t>
            </w:r>
          </w:p>
          <w:p w14:paraId="51708473" w14:textId="77777777" w:rsidR="00744B6F" w:rsidRDefault="00744B6F" w:rsidP="001E6EC3">
            <w:pPr>
              <w:jc w:val="center"/>
            </w:pPr>
          </w:p>
          <w:p w14:paraId="3A01539E" w14:textId="5075DC9C" w:rsidR="00744B6F" w:rsidRDefault="00744B6F" w:rsidP="001E6EC3">
            <w:pPr>
              <w:jc w:val="center"/>
            </w:pPr>
            <w:r>
              <w:t>Pete Waterman</w:t>
            </w:r>
          </w:p>
        </w:tc>
      </w:tr>
      <w:tr w:rsidR="00637B62" w14:paraId="0586B4EC" w14:textId="77777777" w:rsidTr="00EE4C68">
        <w:tc>
          <w:tcPr>
            <w:tcW w:w="1696" w:type="dxa"/>
          </w:tcPr>
          <w:p w14:paraId="3631127C" w14:textId="69DF33C5" w:rsidR="00637B62" w:rsidRDefault="00637B62" w:rsidP="007A77F0">
            <w:r>
              <w:t>Employers Skills Board</w:t>
            </w:r>
          </w:p>
        </w:tc>
        <w:tc>
          <w:tcPr>
            <w:tcW w:w="3828" w:type="dxa"/>
          </w:tcPr>
          <w:p w14:paraId="2E9D8135" w14:textId="77777777" w:rsidR="00290F24" w:rsidRDefault="00290F24" w:rsidP="00290F24">
            <w:pPr>
              <w:pStyle w:val="Default"/>
              <w:rPr>
                <w:rFonts w:ascii="Calibri" w:eastAsia="Times New Roman" w:hAnsi="Calibri"/>
                <w:color w:val="262626"/>
                <w:sz w:val="22"/>
                <w:szCs w:val="22"/>
              </w:rPr>
            </w:pPr>
            <w:r w:rsidRPr="007C54F4">
              <w:rPr>
                <w:rFonts w:ascii="Calibri" w:eastAsia="Times New Roman" w:hAnsi="Calibri"/>
                <w:color w:val="262626"/>
                <w:sz w:val="22"/>
                <w:szCs w:val="22"/>
              </w:rPr>
              <w:t xml:space="preserve">The </w:t>
            </w:r>
            <w:r>
              <w:rPr>
                <w:rFonts w:ascii="Calibri" w:eastAsia="Times New Roman" w:hAnsi="Calibri"/>
                <w:color w:val="262626"/>
                <w:sz w:val="22"/>
                <w:szCs w:val="22"/>
              </w:rPr>
              <w:t xml:space="preserve">Employers’ Skills and Education Board works with other employers, local authorities, universities, colleges and other training providers to ensure </w:t>
            </w:r>
            <w:r>
              <w:rPr>
                <w:rFonts w:ascii="Calibri" w:eastAsia="Times New Roman" w:hAnsi="Calibri"/>
                <w:color w:val="262626"/>
                <w:sz w:val="22"/>
                <w:szCs w:val="22"/>
              </w:rPr>
              <w:lastRenderedPageBreak/>
              <w:t>that businesses in Cheshire and Warrington have the skills they need to grow and that all our residents have the skills they need to progress and play a full part in the economy.</w:t>
            </w:r>
          </w:p>
          <w:p w14:paraId="6B7287DF" w14:textId="77777777" w:rsidR="00290F24" w:rsidRDefault="00290F24" w:rsidP="00290F24">
            <w:pPr>
              <w:pStyle w:val="Default"/>
              <w:rPr>
                <w:rFonts w:ascii="Calibri" w:eastAsia="Times New Roman" w:hAnsi="Calibri"/>
                <w:color w:val="262626"/>
                <w:sz w:val="22"/>
                <w:szCs w:val="22"/>
              </w:rPr>
            </w:pPr>
          </w:p>
          <w:p w14:paraId="23D36A01" w14:textId="05D2FE3F" w:rsidR="00290F24" w:rsidRPr="00B22E0D" w:rsidRDefault="00290F24" w:rsidP="00290F24">
            <w:pPr>
              <w:rPr>
                <w:rFonts w:ascii="Calibri" w:hAnsi="Calibri" w:cs="Calibri"/>
                <w:color w:val="000000"/>
                <w:lang w:eastAsia="en-GB"/>
              </w:rPr>
            </w:pPr>
            <w:r w:rsidRPr="00B22E0D">
              <w:rPr>
                <w:rFonts w:ascii="Calibri" w:hAnsi="Calibri" w:cs="Calibri"/>
              </w:rPr>
              <w:t xml:space="preserve">The Board, supported by the LEP Executive, will make investment decisions on skills and education </w:t>
            </w:r>
            <w:r>
              <w:rPr>
                <w:rFonts w:ascii="Calibri" w:hAnsi="Calibri" w:cs="Calibri"/>
              </w:rPr>
              <w:t xml:space="preserve">up </w:t>
            </w:r>
            <w:r w:rsidRPr="00B22E0D">
              <w:rPr>
                <w:rFonts w:ascii="Calibri" w:hAnsi="Calibri" w:cs="Calibri"/>
              </w:rPr>
              <w:t xml:space="preserve">to </w:t>
            </w:r>
            <w:r>
              <w:rPr>
                <w:rFonts w:ascii="Calibri" w:hAnsi="Calibri" w:cs="Calibri"/>
              </w:rPr>
              <w:t>£1million en</w:t>
            </w:r>
            <w:r w:rsidRPr="00B22E0D">
              <w:rPr>
                <w:rFonts w:ascii="Calibri" w:eastAsia="Calibri" w:hAnsi="Calibri" w:cs="Calibri"/>
                <w:color w:val="262626"/>
              </w:rPr>
              <w:t xml:space="preserve">suring value for money and strategic fit with </w:t>
            </w:r>
            <w:r>
              <w:rPr>
                <w:rFonts w:ascii="Calibri" w:eastAsia="Calibri" w:hAnsi="Calibri" w:cs="Calibri"/>
                <w:color w:val="262626"/>
              </w:rPr>
              <w:t>the LEP’s Skills Strategy and l</w:t>
            </w:r>
            <w:r w:rsidRPr="00B22E0D">
              <w:rPr>
                <w:rFonts w:ascii="Calibri" w:eastAsia="Calibri" w:hAnsi="Calibri" w:cs="Calibri"/>
                <w:color w:val="262626"/>
              </w:rPr>
              <w:t xml:space="preserve">ocal priorities.  </w:t>
            </w:r>
            <w:r w:rsidRPr="00B22E0D">
              <w:rPr>
                <w:rFonts w:ascii="Calibri" w:hAnsi="Calibri" w:cs="Calibri"/>
                <w:color w:val="000000"/>
                <w:lang w:eastAsia="en-GB"/>
              </w:rPr>
              <w:t>The Board will c</w:t>
            </w:r>
            <w:r w:rsidRPr="00B22E0D">
              <w:rPr>
                <w:rFonts w:ascii="Calibri" w:hAnsi="Calibri" w:cs="Calibri"/>
              </w:rPr>
              <w:t xml:space="preserve">hampion investment in skills and education and </w:t>
            </w:r>
            <w:r w:rsidRPr="00B22E0D">
              <w:rPr>
                <w:rFonts w:ascii="Calibri" w:hAnsi="Calibri" w:cs="Calibri"/>
                <w:color w:val="000000"/>
                <w:lang w:eastAsia="en-GB"/>
              </w:rPr>
              <w:t>communicate effectively with the business community to advise on new developments and local opportunities.</w:t>
            </w:r>
          </w:p>
          <w:p w14:paraId="139F009B" w14:textId="15F3374F" w:rsidR="00637B62" w:rsidRPr="00637B62" w:rsidRDefault="00637B62" w:rsidP="00A947E1">
            <w:pPr>
              <w:rPr>
                <w:highlight w:val="yellow"/>
              </w:rPr>
            </w:pPr>
          </w:p>
        </w:tc>
        <w:tc>
          <w:tcPr>
            <w:tcW w:w="1976" w:type="dxa"/>
          </w:tcPr>
          <w:p w14:paraId="55E700D1" w14:textId="7535285C" w:rsidR="00637B62" w:rsidRDefault="00637B62" w:rsidP="001E6EC3">
            <w:pPr>
              <w:jc w:val="center"/>
            </w:pPr>
            <w:r w:rsidRPr="001526C7">
              <w:lastRenderedPageBreak/>
              <w:t>£</w:t>
            </w:r>
            <w:r w:rsidR="001526C7">
              <w:t>1m</w:t>
            </w:r>
          </w:p>
        </w:tc>
        <w:tc>
          <w:tcPr>
            <w:tcW w:w="1993" w:type="dxa"/>
          </w:tcPr>
          <w:p w14:paraId="1ABA66DF" w14:textId="77777777" w:rsidR="00637B62" w:rsidRDefault="00637B62" w:rsidP="001E6EC3">
            <w:pPr>
              <w:jc w:val="center"/>
            </w:pPr>
          </w:p>
          <w:p w14:paraId="1E6BEA68" w14:textId="77777777" w:rsidR="006339C7" w:rsidRDefault="006339C7" w:rsidP="001E6EC3">
            <w:pPr>
              <w:jc w:val="center"/>
              <w:rPr>
                <w:b/>
              </w:rPr>
            </w:pPr>
            <w:r w:rsidRPr="006339C7">
              <w:rPr>
                <w:b/>
              </w:rPr>
              <w:t>Chair</w:t>
            </w:r>
            <w:r>
              <w:rPr>
                <w:b/>
              </w:rPr>
              <w:t>:</w:t>
            </w:r>
          </w:p>
          <w:p w14:paraId="4F5ECA3B" w14:textId="77777777" w:rsidR="006339C7" w:rsidRDefault="006339C7" w:rsidP="001E6EC3">
            <w:pPr>
              <w:jc w:val="center"/>
              <w:rPr>
                <w:b/>
              </w:rPr>
            </w:pPr>
          </w:p>
          <w:p w14:paraId="445DFB00" w14:textId="77777777" w:rsidR="006339C7" w:rsidRDefault="006339C7" w:rsidP="001E6EC3">
            <w:pPr>
              <w:jc w:val="center"/>
            </w:pPr>
            <w:r>
              <w:t>Clare Hayward</w:t>
            </w:r>
          </w:p>
          <w:p w14:paraId="1A1728D8" w14:textId="3F83F515" w:rsidR="006339C7" w:rsidRPr="006339C7" w:rsidRDefault="006339C7" w:rsidP="001E6EC3">
            <w:pPr>
              <w:jc w:val="center"/>
            </w:pPr>
          </w:p>
        </w:tc>
      </w:tr>
      <w:tr w:rsidR="00110C14" w14:paraId="2F42071A" w14:textId="77777777" w:rsidTr="00EE4C68">
        <w:tc>
          <w:tcPr>
            <w:tcW w:w="1696" w:type="dxa"/>
          </w:tcPr>
          <w:p w14:paraId="0481841E" w14:textId="77777777" w:rsidR="00110C14" w:rsidRDefault="00110C14" w:rsidP="00110C14">
            <w:r>
              <w:lastRenderedPageBreak/>
              <w:t>Growth Strategy Board</w:t>
            </w:r>
          </w:p>
          <w:p w14:paraId="29374719" w14:textId="77777777" w:rsidR="00110C14" w:rsidRDefault="00110C14" w:rsidP="00110C14"/>
        </w:tc>
        <w:tc>
          <w:tcPr>
            <w:tcW w:w="3828" w:type="dxa"/>
          </w:tcPr>
          <w:p w14:paraId="48AF60EC" w14:textId="151A2B4B" w:rsidR="00110C14" w:rsidRDefault="00110C14" w:rsidP="00110C14">
            <w:r>
              <w:t>Delegations to be established following establishment of the committee</w:t>
            </w:r>
          </w:p>
        </w:tc>
        <w:tc>
          <w:tcPr>
            <w:tcW w:w="1976" w:type="dxa"/>
          </w:tcPr>
          <w:p w14:paraId="0B262B95" w14:textId="45F9EA7D" w:rsidR="00110C14" w:rsidRDefault="00110C14" w:rsidP="00110C14">
            <w:pPr>
              <w:jc w:val="center"/>
            </w:pPr>
            <w:r>
              <w:t>N/A</w:t>
            </w:r>
          </w:p>
        </w:tc>
        <w:tc>
          <w:tcPr>
            <w:tcW w:w="1993" w:type="dxa"/>
          </w:tcPr>
          <w:p w14:paraId="232F13C1" w14:textId="77777777" w:rsidR="00110C14" w:rsidRDefault="00110C14" w:rsidP="00110C14">
            <w:pPr>
              <w:jc w:val="center"/>
            </w:pPr>
          </w:p>
          <w:p w14:paraId="7D66CC6A" w14:textId="77777777" w:rsidR="006339C7" w:rsidRDefault="006339C7" w:rsidP="00110C14">
            <w:pPr>
              <w:jc w:val="center"/>
            </w:pPr>
            <w:r>
              <w:t>Chair:</w:t>
            </w:r>
          </w:p>
          <w:p w14:paraId="0B9D4B84" w14:textId="77777777" w:rsidR="006339C7" w:rsidRDefault="006339C7" w:rsidP="00110C14">
            <w:pPr>
              <w:jc w:val="center"/>
            </w:pPr>
            <w:r>
              <w:t>TBC</w:t>
            </w:r>
          </w:p>
          <w:p w14:paraId="5262B18B" w14:textId="0BB3CBC7" w:rsidR="006339C7" w:rsidRDefault="006339C7" w:rsidP="00110C14">
            <w:pPr>
              <w:jc w:val="center"/>
            </w:pPr>
          </w:p>
        </w:tc>
      </w:tr>
      <w:tr w:rsidR="00110C14" w14:paraId="1B9333B3" w14:textId="77777777" w:rsidTr="00EE4C68">
        <w:tc>
          <w:tcPr>
            <w:tcW w:w="1696" w:type="dxa"/>
          </w:tcPr>
          <w:p w14:paraId="63CCB912" w14:textId="3AE513FF" w:rsidR="00110C14" w:rsidRDefault="00110C14" w:rsidP="00110C14">
            <w:r>
              <w:t>Performance and Investment</w:t>
            </w:r>
          </w:p>
          <w:p w14:paraId="49ACCBF0" w14:textId="77777777" w:rsidR="00110C14" w:rsidRDefault="00110C14" w:rsidP="00110C14"/>
          <w:p w14:paraId="57C82351" w14:textId="3FE4DADB" w:rsidR="00110C14" w:rsidRDefault="00110C14" w:rsidP="00110C14"/>
        </w:tc>
        <w:tc>
          <w:tcPr>
            <w:tcW w:w="3828" w:type="dxa"/>
          </w:tcPr>
          <w:p w14:paraId="33FFC6FF" w14:textId="52F0D20F" w:rsidR="00110C14" w:rsidRPr="00637B62" w:rsidRDefault="00110C14" w:rsidP="00110C14">
            <w:pPr>
              <w:rPr>
                <w:highlight w:val="yellow"/>
              </w:rPr>
            </w:pPr>
            <w:r>
              <w:t xml:space="preserve">The Performance and Investment Committee is a review committee and no financial decisions can be taken without approval from P&amp;I.  It will review all financial decisions being made by other sub-committees and following consideration will either confirm final approval, or else revert the decision back to the full LEP Board depending on the delegated authority of the sub-committee, whose decision it is reviewing.  </w:t>
            </w:r>
          </w:p>
        </w:tc>
        <w:tc>
          <w:tcPr>
            <w:tcW w:w="1976" w:type="dxa"/>
          </w:tcPr>
          <w:p w14:paraId="7682060A" w14:textId="24D6303C" w:rsidR="00110C14" w:rsidRPr="00637B62" w:rsidRDefault="00110C14" w:rsidP="00110C14">
            <w:pPr>
              <w:jc w:val="center"/>
              <w:rPr>
                <w:highlight w:val="yellow"/>
              </w:rPr>
            </w:pPr>
            <w:r>
              <w:t>N/A</w:t>
            </w:r>
          </w:p>
        </w:tc>
        <w:tc>
          <w:tcPr>
            <w:tcW w:w="1993" w:type="dxa"/>
          </w:tcPr>
          <w:p w14:paraId="7CD136B5" w14:textId="77777777" w:rsidR="00110C14" w:rsidRDefault="00110C14" w:rsidP="00110C14">
            <w:pPr>
              <w:jc w:val="center"/>
            </w:pPr>
          </w:p>
          <w:p w14:paraId="09B194E5" w14:textId="77777777" w:rsidR="006339C7" w:rsidRPr="006339C7" w:rsidRDefault="006339C7" w:rsidP="00110C14">
            <w:pPr>
              <w:jc w:val="center"/>
              <w:rPr>
                <w:b/>
              </w:rPr>
            </w:pPr>
            <w:r w:rsidRPr="006339C7">
              <w:rPr>
                <w:b/>
              </w:rPr>
              <w:t>Chair:</w:t>
            </w:r>
          </w:p>
          <w:p w14:paraId="192232AF" w14:textId="77777777" w:rsidR="006339C7" w:rsidRDefault="006339C7" w:rsidP="00110C14">
            <w:pPr>
              <w:jc w:val="center"/>
            </w:pPr>
          </w:p>
          <w:p w14:paraId="7E02268D" w14:textId="77777777" w:rsidR="006339C7" w:rsidRDefault="006339C7" w:rsidP="00110C14">
            <w:pPr>
              <w:jc w:val="center"/>
            </w:pPr>
            <w:r>
              <w:t>Ged Barlow</w:t>
            </w:r>
          </w:p>
          <w:p w14:paraId="6766377F" w14:textId="77777777" w:rsidR="006339C7" w:rsidRDefault="006339C7" w:rsidP="00110C14">
            <w:pPr>
              <w:jc w:val="center"/>
            </w:pPr>
          </w:p>
          <w:p w14:paraId="6E446D4D" w14:textId="77777777" w:rsidR="006339C7" w:rsidRPr="006339C7" w:rsidRDefault="006339C7" w:rsidP="00110C14">
            <w:pPr>
              <w:jc w:val="center"/>
              <w:rPr>
                <w:b/>
              </w:rPr>
            </w:pPr>
            <w:r w:rsidRPr="006339C7">
              <w:rPr>
                <w:b/>
              </w:rPr>
              <w:t>Other:</w:t>
            </w:r>
          </w:p>
          <w:p w14:paraId="03643ED2" w14:textId="37CABD14" w:rsidR="006339C7" w:rsidRDefault="006339C7" w:rsidP="00110C14">
            <w:pPr>
              <w:jc w:val="center"/>
            </w:pPr>
          </w:p>
          <w:p w14:paraId="77C48A58" w14:textId="35E579F1" w:rsidR="006339C7" w:rsidRDefault="006339C7" w:rsidP="00110C14">
            <w:pPr>
              <w:jc w:val="center"/>
            </w:pPr>
            <w:r>
              <w:t>Meredydd David</w:t>
            </w:r>
          </w:p>
          <w:p w14:paraId="752EB2ED" w14:textId="522227F8" w:rsidR="006339C7" w:rsidRDefault="006339C7" w:rsidP="00110C14">
            <w:pPr>
              <w:jc w:val="center"/>
            </w:pPr>
          </w:p>
        </w:tc>
      </w:tr>
    </w:tbl>
    <w:p w14:paraId="7D02C8AA" w14:textId="77777777" w:rsidR="007A77F0" w:rsidRPr="0056520C" w:rsidRDefault="007A77F0" w:rsidP="007A77F0"/>
    <w:sectPr w:rsidR="007A77F0" w:rsidRPr="0056520C" w:rsidSect="006B376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12E1" w14:textId="77777777" w:rsidR="00F81305" w:rsidRDefault="00F81305" w:rsidP="006B386D">
      <w:pPr>
        <w:spacing w:after="0" w:line="240" w:lineRule="auto"/>
      </w:pPr>
      <w:r>
        <w:separator/>
      </w:r>
    </w:p>
  </w:endnote>
  <w:endnote w:type="continuationSeparator" w:id="0">
    <w:p w14:paraId="73643E49" w14:textId="77777777" w:rsidR="00F81305" w:rsidRDefault="00F81305" w:rsidP="006B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05532"/>
      <w:docPartObj>
        <w:docPartGallery w:val="Page Numbers (Bottom of Page)"/>
        <w:docPartUnique/>
      </w:docPartObj>
    </w:sdtPr>
    <w:sdtEndPr>
      <w:rPr>
        <w:noProof/>
      </w:rPr>
    </w:sdtEndPr>
    <w:sdtContent>
      <w:p w14:paraId="688CB59E" w14:textId="69CD37CF" w:rsidR="00236A9D" w:rsidRDefault="00236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3D4A1" w14:textId="77777777" w:rsidR="00236A9D" w:rsidRDefault="0023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4D0B" w14:textId="77777777" w:rsidR="00F81305" w:rsidRDefault="00F81305" w:rsidP="006B386D">
      <w:pPr>
        <w:spacing w:after="0" w:line="240" w:lineRule="auto"/>
      </w:pPr>
      <w:r>
        <w:separator/>
      </w:r>
    </w:p>
  </w:footnote>
  <w:footnote w:type="continuationSeparator" w:id="0">
    <w:p w14:paraId="1B39742D" w14:textId="77777777" w:rsidR="00F81305" w:rsidRDefault="00F81305" w:rsidP="006B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0AE"/>
    <w:multiLevelType w:val="hybridMultilevel"/>
    <w:tmpl w:val="4AFE7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96849"/>
    <w:multiLevelType w:val="hybridMultilevel"/>
    <w:tmpl w:val="214E05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35E6B"/>
    <w:multiLevelType w:val="hybridMultilevel"/>
    <w:tmpl w:val="F50E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460A6"/>
    <w:multiLevelType w:val="multilevel"/>
    <w:tmpl w:val="8D2675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C0314"/>
    <w:multiLevelType w:val="hybridMultilevel"/>
    <w:tmpl w:val="869C8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91F6F"/>
    <w:multiLevelType w:val="hybridMultilevel"/>
    <w:tmpl w:val="C908D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D3C02"/>
    <w:multiLevelType w:val="hybridMultilevel"/>
    <w:tmpl w:val="B254BBA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12EC1C74"/>
    <w:multiLevelType w:val="hybridMultilevel"/>
    <w:tmpl w:val="650E475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15F466A2"/>
    <w:multiLevelType w:val="hybridMultilevel"/>
    <w:tmpl w:val="2C54F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5F3CDE"/>
    <w:multiLevelType w:val="hybridMultilevel"/>
    <w:tmpl w:val="96E07C6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19923D2A"/>
    <w:multiLevelType w:val="hybridMultilevel"/>
    <w:tmpl w:val="7F0A1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E03EE"/>
    <w:multiLevelType w:val="hybridMultilevel"/>
    <w:tmpl w:val="E580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818F8"/>
    <w:multiLevelType w:val="hybridMultilevel"/>
    <w:tmpl w:val="15FCC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A2E3F"/>
    <w:multiLevelType w:val="hybridMultilevel"/>
    <w:tmpl w:val="E0C6B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401C7"/>
    <w:multiLevelType w:val="hybridMultilevel"/>
    <w:tmpl w:val="C3A2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574FD"/>
    <w:multiLevelType w:val="hybridMultilevel"/>
    <w:tmpl w:val="A704B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459B7"/>
    <w:multiLevelType w:val="hybridMultilevel"/>
    <w:tmpl w:val="2C42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35969"/>
    <w:multiLevelType w:val="hybridMultilevel"/>
    <w:tmpl w:val="97F623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837520"/>
    <w:multiLevelType w:val="hybridMultilevel"/>
    <w:tmpl w:val="3C840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33634F"/>
    <w:multiLevelType w:val="hybridMultilevel"/>
    <w:tmpl w:val="B718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9573C"/>
    <w:multiLevelType w:val="hybridMultilevel"/>
    <w:tmpl w:val="C25490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A72703"/>
    <w:multiLevelType w:val="hybridMultilevel"/>
    <w:tmpl w:val="F4680502"/>
    <w:lvl w:ilvl="0" w:tplc="73B2D79C">
      <w:start w:val="1"/>
      <w:numFmt w:val="decimal"/>
      <w:lvlText w:val="%1."/>
      <w:lvlJc w:val="left"/>
      <w:pPr>
        <w:ind w:left="501"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AA1393"/>
    <w:multiLevelType w:val="hybridMultilevel"/>
    <w:tmpl w:val="6964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03EC0"/>
    <w:multiLevelType w:val="hybridMultilevel"/>
    <w:tmpl w:val="15DE2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D5213"/>
    <w:multiLevelType w:val="hybridMultilevel"/>
    <w:tmpl w:val="C4A81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E65543"/>
    <w:multiLevelType w:val="multilevel"/>
    <w:tmpl w:val="8D2675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B722F"/>
    <w:multiLevelType w:val="hybridMultilevel"/>
    <w:tmpl w:val="9814B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CB63D9"/>
    <w:multiLevelType w:val="hybridMultilevel"/>
    <w:tmpl w:val="8E2E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D0D02"/>
    <w:multiLevelType w:val="multilevel"/>
    <w:tmpl w:val="8D2675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E55DED"/>
    <w:multiLevelType w:val="hybridMultilevel"/>
    <w:tmpl w:val="21786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7C76F5"/>
    <w:multiLevelType w:val="hybridMultilevel"/>
    <w:tmpl w:val="CE5C4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8"/>
  </w:num>
  <w:num w:numId="3">
    <w:abstractNumId w:val="14"/>
  </w:num>
  <w:num w:numId="4">
    <w:abstractNumId w:val="22"/>
  </w:num>
  <w:num w:numId="5">
    <w:abstractNumId w:val="3"/>
  </w:num>
  <w:num w:numId="6">
    <w:abstractNumId w:val="25"/>
  </w:num>
  <w:num w:numId="7">
    <w:abstractNumId w:val="13"/>
  </w:num>
  <w:num w:numId="8">
    <w:abstractNumId w:val="27"/>
  </w:num>
  <w:num w:numId="9">
    <w:abstractNumId w:val="12"/>
  </w:num>
  <w:num w:numId="10">
    <w:abstractNumId w:val="10"/>
  </w:num>
  <w:num w:numId="11">
    <w:abstractNumId w:val="21"/>
  </w:num>
  <w:num w:numId="12">
    <w:abstractNumId w:val="29"/>
  </w:num>
  <w:num w:numId="13">
    <w:abstractNumId w:val="5"/>
  </w:num>
  <w:num w:numId="14">
    <w:abstractNumId w:val="0"/>
  </w:num>
  <w:num w:numId="15">
    <w:abstractNumId w:val="4"/>
  </w:num>
  <w:num w:numId="16">
    <w:abstractNumId w:val="2"/>
  </w:num>
  <w:num w:numId="17">
    <w:abstractNumId w:val="11"/>
  </w:num>
  <w:num w:numId="18">
    <w:abstractNumId w:val="16"/>
  </w:num>
  <w:num w:numId="19">
    <w:abstractNumId w:val="15"/>
  </w:num>
  <w:num w:numId="20">
    <w:abstractNumId w:val="9"/>
  </w:num>
  <w:num w:numId="21">
    <w:abstractNumId w:val="7"/>
  </w:num>
  <w:num w:numId="22">
    <w:abstractNumId w:val="6"/>
  </w:num>
  <w:num w:numId="23">
    <w:abstractNumId w:val="26"/>
  </w:num>
  <w:num w:numId="24">
    <w:abstractNumId w:val="17"/>
  </w:num>
  <w:num w:numId="25">
    <w:abstractNumId w:val="20"/>
  </w:num>
  <w:num w:numId="26">
    <w:abstractNumId w:val="8"/>
  </w:num>
  <w:num w:numId="27">
    <w:abstractNumId w:val="24"/>
  </w:num>
  <w:num w:numId="28">
    <w:abstractNumId w:val="23"/>
  </w:num>
  <w:num w:numId="29">
    <w:abstractNumId w:val="18"/>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ED"/>
    <w:rsid w:val="00065D9C"/>
    <w:rsid w:val="00087B3B"/>
    <w:rsid w:val="000B2288"/>
    <w:rsid w:val="000B4DCA"/>
    <w:rsid w:val="000B53F0"/>
    <w:rsid w:val="000C4B5D"/>
    <w:rsid w:val="00107DB6"/>
    <w:rsid w:val="00110C14"/>
    <w:rsid w:val="00117C02"/>
    <w:rsid w:val="001432AF"/>
    <w:rsid w:val="00147F24"/>
    <w:rsid w:val="001526C7"/>
    <w:rsid w:val="001560E0"/>
    <w:rsid w:val="00190FD0"/>
    <w:rsid w:val="00197A24"/>
    <w:rsid w:val="001E6710"/>
    <w:rsid w:val="001E6EC3"/>
    <w:rsid w:val="001F3F1A"/>
    <w:rsid w:val="00200D04"/>
    <w:rsid w:val="00206A07"/>
    <w:rsid w:val="00236A9D"/>
    <w:rsid w:val="00256EA5"/>
    <w:rsid w:val="002653F5"/>
    <w:rsid w:val="00270514"/>
    <w:rsid w:val="00272384"/>
    <w:rsid w:val="0028545C"/>
    <w:rsid w:val="00290F24"/>
    <w:rsid w:val="002D6079"/>
    <w:rsid w:val="00306137"/>
    <w:rsid w:val="00320D43"/>
    <w:rsid w:val="00321694"/>
    <w:rsid w:val="00333B44"/>
    <w:rsid w:val="00373B98"/>
    <w:rsid w:val="00374011"/>
    <w:rsid w:val="00397210"/>
    <w:rsid w:val="003A380E"/>
    <w:rsid w:val="003B392F"/>
    <w:rsid w:val="00402590"/>
    <w:rsid w:val="00453FEE"/>
    <w:rsid w:val="00497091"/>
    <w:rsid w:val="004B3EE6"/>
    <w:rsid w:val="005160DE"/>
    <w:rsid w:val="0056520C"/>
    <w:rsid w:val="005945EB"/>
    <w:rsid w:val="005D699C"/>
    <w:rsid w:val="00601423"/>
    <w:rsid w:val="006146CD"/>
    <w:rsid w:val="00620997"/>
    <w:rsid w:val="006339C7"/>
    <w:rsid w:val="00637B62"/>
    <w:rsid w:val="00641AE2"/>
    <w:rsid w:val="00647742"/>
    <w:rsid w:val="00685716"/>
    <w:rsid w:val="006867C5"/>
    <w:rsid w:val="006939C9"/>
    <w:rsid w:val="006A15E9"/>
    <w:rsid w:val="006A56C4"/>
    <w:rsid w:val="006B3765"/>
    <w:rsid w:val="006B386D"/>
    <w:rsid w:val="00712CF7"/>
    <w:rsid w:val="00744B6F"/>
    <w:rsid w:val="00747A2A"/>
    <w:rsid w:val="00777B05"/>
    <w:rsid w:val="007A77F0"/>
    <w:rsid w:val="007C150D"/>
    <w:rsid w:val="007D2AD5"/>
    <w:rsid w:val="007F3EC9"/>
    <w:rsid w:val="007F6C1E"/>
    <w:rsid w:val="00802E71"/>
    <w:rsid w:val="00822F6B"/>
    <w:rsid w:val="00831E4B"/>
    <w:rsid w:val="0084786E"/>
    <w:rsid w:val="008757A2"/>
    <w:rsid w:val="0089455C"/>
    <w:rsid w:val="008C722F"/>
    <w:rsid w:val="008F7504"/>
    <w:rsid w:val="0091742C"/>
    <w:rsid w:val="00917B3E"/>
    <w:rsid w:val="00917CFA"/>
    <w:rsid w:val="00932127"/>
    <w:rsid w:val="009971DB"/>
    <w:rsid w:val="009B6676"/>
    <w:rsid w:val="00A00525"/>
    <w:rsid w:val="00A05CCF"/>
    <w:rsid w:val="00A1265A"/>
    <w:rsid w:val="00A21077"/>
    <w:rsid w:val="00A265E6"/>
    <w:rsid w:val="00A2666E"/>
    <w:rsid w:val="00A4576D"/>
    <w:rsid w:val="00A56E2F"/>
    <w:rsid w:val="00A711B3"/>
    <w:rsid w:val="00A81B7D"/>
    <w:rsid w:val="00A947E1"/>
    <w:rsid w:val="00AE43F9"/>
    <w:rsid w:val="00B679AC"/>
    <w:rsid w:val="00B708C4"/>
    <w:rsid w:val="00B754A2"/>
    <w:rsid w:val="00B95935"/>
    <w:rsid w:val="00BF1754"/>
    <w:rsid w:val="00C01685"/>
    <w:rsid w:val="00C94B97"/>
    <w:rsid w:val="00C964E0"/>
    <w:rsid w:val="00CC3578"/>
    <w:rsid w:val="00D07710"/>
    <w:rsid w:val="00D17F79"/>
    <w:rsid w:val="00D26F05"/>
    <w:rsid w:val="00D553B1"/>
    <w:rsid w:val="00D86573"/>
    <w:rsid w:val="00DE2A98"/>
    <w:rsid w:val="00DE4000"/>
    <w:rsid w:val="00E347ED"/>
    <w:rsid w:val="00E5423E"/>
    <w:rsid w:val="00E711AE"/>
    <w:rsid w:val="00E767B3"/>
    <w:rsid w:val="00E84084"/>
    <w:rsid w:val="00EB566B"/>
    <w:rsid w:val="00EC1321"/>
    <w:rsid w:val="00EC6668"/>
    <w:rsid w:val="00EE4C68"/>
    <w:rsid w:val="00EE72AA"/>
    <w:rsid w:val="00F371E7"/>
    <w:rsid w:val="00F40F69"/>
    <w:rsid w:val="00F81305"/>
    <w:rsid w:val="00F86E38"/>
    <w:rsid w:val="00FB36CA"/>
    <w:rsid w:val="00FE0257"/>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7BCB"/>
  <w15:chartTrackingRefBased/>
  <w15:docId w15:val="{5F2F809C-FE0A-4696-AFF0-D3D4D628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4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8C722F"/>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22F6B"/>
    <w:pPr>
      <w:ind w:left="720"/>
      <w:contextualSpacing/>
    </w:pPr>
  </w:style>
  <w:style w:type="character" w:customStyle="1" w:styleId="Heading5Char">
    <w:name w:val="Heading 5 Char"/>
    <w:basedOn w:val="DefaultParagraphFont"/>
    <w:link w:val="Heading5"/>
    <w:rsid w:val="008C722F"/>
    <w:rPr>
      <w:rFonts w:ascii="Arial" w:eastAsia="Times New Roman" w:hAnsi="Arial" w:cs="Arial"/>
      <w:b/>
      <w:bCs/>
      <w:sz w:val="32"/>
      <w:szCs w:val="24"/>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8C722F"/>
  </w:style>
  <w:style w:type="character" w:customStyle="1" w:styleId="Heading2Char">
    <w:name w:val="Heading 2 Char"/>
    <w:basedOn w:val="DefaultParagraphFont"/>
    <w:link w:val="Heading2"/>
    <w:uiPriority w:val="9"/>
    <w:semiHidden/>
    <w:rsid w:val="00DE400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DE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E4000"/>
    <w:pPr>
      <w:spacing w:after="0" w:line="240" w:lineRule="auto"/>
    </w:pPr>
    <w:rPr>
      <w:rFonts w:ascii="Calibri" w:hAnsi="Calibri" w:cs="Calibri"/>
      <w:lang w:eastAsia="en-GB"/>
    </w:rPr>
  </w:style>
  <w:style w:type="paragraph" w:styleId="Header">
    <w:name w:val="header"/>
    <w:basedOn w:val="Normal"/>
    <w:link w:val="HeaderChar"/>
    <w:uiPriority w:val="99"/>
    <w:unhideWhenUsed/>
    <w:rsid w:val="006B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6D"/>
  </w:style>
  <w:style w:type="paragraph" w:styleId="Footer">
    <w:name w:val="footer"/>
    <w:basedOn w:val="Normal"/>
    <w:link w:val="FooterChar"/>
    <w:uiPriority w:val="99"/>
    <w:unhideWhenUsed/>
    <w:rsid w:val="006B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86D"/>
  </w:style>
  <w:style w:type="paragraph" w:styleId="BalloonText">
    <w:name w:val="Balloon Text"/>
    <w:basedOn w:val="Normal"/>
    <w:link w:val="BalloonTextChar"/>
    <w:uiPriority w:val="99"/>
    <w:semiHidden/>
    <w:unhideWhenUsed/>
    <w:rsid w:val="007C1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0D"/>
    <w:rPr>
      <w:rFonts w:ascii="Segoe UI" w:hAnsi="Segoe UI" w:cs="Segoe UI"/>
      <w:sz w:val="18"/>
      <w:szCs w:val="18"/>
    </w:rPr>
  </w:style>
  <w:style w:type="paragraph" w:customStyle="1" w:styleId="Default">
    <w:name w:val="Default"/>
    <w:rsid w:val="00290F24"/>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Brosnahan</dc:creator>
  <cp:keywords/>
  <dc:description/>
  <cp:lastModifiedBy>Mark Livesey</cp:lastModifiedBy>
  <cp:revision>2</cp:revision>
  <cp:lastPrinted>2018-11-07T16:11:00Z</cp:lastPrinted>
  <dcterms:created xsi:type="dcterms:W3CDTF">2018-11-07T18:42:00Z</dcterms:created>
  <dcterms:modified xsi:type="dcterms:W3CDTF">2018-11-07T18:42:00Z</dcterms:modified>
</cp:coreProperties>
</file>